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pPr>
      <w:r>
        <w:rPr>
          <w:rFonts w:ascii="Calibri Light" w:hAnsi="Calibri Light"/>
          <w:b/>
          <w:color w:val="1B365D"/>
          <w:sz w:val="52"/>
        </w:rPr>
        <w:t>FinanceFlow AI</w:t>
      </w:r>
    </w:p>
    <w:p>
      <w:pPr>
        <w:spacing w:before="0" w:after="360" w:line="276" w:lineRule="auto"/>
      </w:pPr>
      <w:r>
        <w:rPr>
          <w:rFonts w:ascii="Calibri" w:hAnsi="Calibri"/>
          <w:color w:val="008080"/>
          <w:sz w:val="28"/>
        </w:rPr>
        <w:t>Database ER Design &amp; Architectural Architecture Specification (v1.0)</w:t>
      </w:r>
    </w:p>
    <w:p>
      <w:pPr>
        <w:spacing w:before="0" w:after="320" w:line="276" w:lineRule="auto"/>
      </w:pPr>
      <w:r>
        <w:rPr>
          <w:color w:val="64748B"/>
          <w:sz w:val="20"/>
        </w:rPr>
        <w: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0" w:after="80" w:line="276" w:lineRule="auto"/>
            </w:pPr>
            <w:r>
              <w:rPr>
                <w:b/>
                <w:color w:val="1B365D"/>
              </w:rPr>
              <w:t>Document Overview &amp; Core Concept</w:t>
            </w:r>
          </w:p>
          <w:p>
            <w:pPr>
              <w:spacing w:before="0" w:after="0" w:line="276" w:lineRule="auto"/>
            </w:pPr>
            <w:r>
              <w:t>This specification outlines the freeze-state database design for FinanceFlow AI using MySQL as the relational database engine. The architecture decouples raw incoming bank payments from internal ledger entities (Companies, Loans, Repayments). Reconciliation and allocation form the operational heart of the system, leveraging AI recommendation candidate scoring and mandatory human approval workflows.</w:t>
            </w:r>
          </w:p>
        </w:tc>
      </w:tr>
    </w:tbl>
    <w:p/>
    <w:p>
      <w:pPr>
        <w:spacing w:before="280" w:after="120" w:line="276" w:lineRule="auto"/>
      </w:pPr>
      <w:r>
        <w:rPr>
          <w:rFonts w:ascii="Calibri Light" w:hAnsi="Calibri Light"/>
          <w:b/>
          <w:color w:val="1B365D"/>
          <w:sz w:val="32"/>
        </w:rPr>
        <w:t>1. Version 1 Core Database Schema (12 Tables)</w:t>
      </w:r>
    </w:p>
    <w:p>
      <w:pPr>
        <w:spacing w:before="0" w:after="160" w:line="276" w:lineRule="auto"/>
      </w:pPr>
      <w:r>
        <w:t>For Version 1, the relational schema is frozen across the following 12 core tables:</w:t>
      </w:r>
    </w:p>
    <w:p>
      <w:pPr>
        <w:pStyle w:val="ListBullet"/>
        <w:spacing w:before="0" w:after="60" w:line="276" w:lineRule="auto"/>
      </w:pPr>
      <w:r>
        <w:rPr>
          <w:b/>
          <w:color w:val="1B365D"/>
        </w:rPr>
        <w:t xml:space="preserve">roles: </w:t>
      </w:r>
      <w:r>
        <w:t>Access control roles (e.g., Accountant, Admin, Manager).</w:t>
      </w:r>
    </w:p>
    <w:p>
      <w:pPr>
        <w:pStyle w:val="ListBullet"/>
        <w:spacing w:before="0" w:after="60" w:line="276" w:lineRule="auto"/>
      </w:pPr>
      <w:r>
        <w:rPr>
          <w:b/>
          <w:color w:val="1B365D"/>
        </w:rPr>
        <w:t xml:space="preserve">users: </w:t>
      </w:r>
      <w:r>
        <w:t>User accounts, authentication references, and role assignments.</w:t>
      </w:r>
    </w:p>
    <w:p>
      <w:pPr>
        <w:pStyle w:val="ListBullet"/>
        <w:spacing w:before="0" w:after="60" w:line="276" w:lineRule="auto"/>
      </w:pPr>
      <w:r>
        <w:rPr>
          <w:b/>
          <w:color w:val="1B365D"/>
        </w:rPr>
        <w:t xml:space="preserve">companies: </w:t>
      </w:r>
      <w:r>
        <w:t>Borrower entities and corporate clients.</w:t>
      </w:r>
    </w:p>
    <w:p>
      <w:pPr>
        <w:pStyle w:val="ListBullet"/>
        <w:spacing w:before="0" w:after="60" w:line="276" w:lineRule="auto"/>
      </w:pPr>
      <w:r>
        <w:rPr>
          <w:b/>
          <w:color w:val="1B365D"/>
        </w:rPr>
        <w:t xml:space="preserve">loans: </w:t>
      </w:r>
      <w:r>
        <w:t>Loan agreements linked to borrower companies.</w:t>
      </w:r>
    </w:p>
    <w:p>
      <w:pPr>
        <w:pStyle w:val="ListBullet"/>
        <w:spacing w:before="0" w:after="60" w:line="276" w:lineRule="auto"/>
      </w:pPr>
      <w:r>
        <w:rPr>
          <w:b/>
          <w:color w:val="1B365D"/>
        </w:rPr>
        <w:t xml:space="preserve">repayment_schedules: </w:t>
      </w:r>
      <w:r>
        <w:t>Scheduled payment installments, due amounts, and pending balances.</w:t>
      </w:r>
    </w:p>
    <w:p>
      <w:pPr>
        <w:pStyle w:val="ListBullet"/>
        <w:spacing w:before="0" w:after="60" w:line="276" w:lineRule="auto"/>
      </w:pPr>
      <w:r>
        <w:rPr>
          <w:b/>
          <w:color w:val="1B365D"/>
        </w:rPr>
        <w:t xml:space="preserve">payments: </w:t>
      </w:r>
      <w:r>
        <w:t>Raw bank payment logs (unmatched incoming financial transactions).</w:t>
      </w:r>
    </w:p>
    <w:p>
      <w:pPr>
        <w:pStyle w:val="ListBullet"/>
        <w:spacing w:before="0" w:after="60" w:line="276" w:lineRule="auto"/>
      </w:pPr>
      <w:r>
        <w:rPr>
          <w:b/>
          <w:color w:val="1B365D"/>
        </w:rPr>
        <w:t xml:space="preserve">payment_allocations: </w:t>
      </w:r>
      <w:r>
        <w:t>Final ledger records linking approved payments to specific repayment schedules.</w:t>
      </w:r>
    </w:p>
    <w:p>
      <w:pPr>
        <w:pStyle w:val="ListBullet"/>
        <w:spacing w:before="0" w:after="60" w:line="276" w:lineRule="auto"/>
      </w:pPr>
      <w:r>
        <w:rPr>
          <w:b/>
          <w:color w:val="1B365D"/>
        </w:rPr>
        <w:t xml:space="preserve">reconciliation_cases: </w:t>
      </w:r>
      <w:r>
        <w:t>Investigation cases managing the matching process per payment.</w:t>
      </w:r>
    </w:p>
    <w:p>
      <w:pPr>
        <w:pStyle w:val="ListBullet"/>
        <w:spacing w:before="0" w:after="60" w:line="276" w:lineRule="auto"/>
      </w:pPr>
      <w:r>
        <w:rPr>
          <w:b/>
          <w:color w:val="1B365D"/>
        </w:rPr>
        <w:t xml:space="preserve">ai_recommendations: </w:t>
      </w:r>
      <w:r>
        <w:t>AI engine candidate matches with confidence percentage scores.</w:t>
      </w:r>
    </w:p>
    <w:p>
      <w:pPr>
        <w:pStyle w:val="ListBullet"/>
        <w:spacing w:before="0" w:after="60" w:line="276" w:lineRule="auto"/>
      </w:pPr>
      <w:r>
        <w:rPr>
          <w:b/>
          <w:color w:val="1B365D"/>
        </w:rPr>
        <w:t xml:space="preserve">documents: </w:t>
      </w:r>
      <w:r>
        <w:t>Uploaded metadata (contracts, bank receipts, identity proofs).</w:t>
      </w:r>
    </w:p>
    <w:p>
      <w:pPr>
        <w:pStyle w:val="ListBullet"/>
        <w:spacing w:before="0" w:after="60" w:line="276" w:lineRule="auto"/>
      </w:pPr>
      <w:r>
        <w:rPr>
          <w:b/>
          <w:color w:val="1B365D"/>
        </w:rPr>
        <w:t xml:space="preserve">audit_logs: </w:t>
      </w:r>
      <w:r>
        <w:t>Immutable system audit trail tracking user actions, entity modifications, and old/new values.</w:t>
      </w:r>
    </w:p>
    <w:p>
      <w:pPr>
        <w:pStyle w:val="ListBullet"/>
        <w:spacing w:before="0" w:after="60" w:line="276" w:lineRule="auto"/>
      </w:pPr>
      <w:r>
        <w:rPr>
          <w:b/>
          <w:color w:val="1B365D"/>
        </w:rPr>
        <w:t xml:space="preserve">notifications: </w:t>
      </w:r>
      <w:r>
        <w:t>System alerts and workflow notifications assigned to users.</w:t>
      </w:r>
    </w:p>
    <w:p/>
    <w:p>
      <w:pPr>
        <w:spacing w:before="280" w:after="120" w:line="276" w:lineRule="auto"/>
      </w:pPr>
      <w:r>
        <w:rPr>
          <w:rFonts w:ascii="Calibri Light" w:hAnsi="Calibri Light"/>
          <w:b/>
          <w:color w:val="1B365D"/>
          <w:sz w:val="32"/>
        </w:rPr>
        <w:t>2. ER Relationship Diagram</w:t>
      </w:r>
    </w:p>
    <w:p>
      <w:pPr>
        <w:spacing w:before="0" w:after="160" w:line="276" w:lineRule="auto"/>
      </w:pPr>
      <w:r>
        <w:t>The structural flow below details entity dependencies from security/access down through raw incoming funds, AI evaluation, human review, and financial ledger allocation.</w:t>
      </w:r>
    </w:p>
    <w:tbl>
      <w:tblPr>
        <w:tblW w:type="auto" w:w="0"/>
        <w:jc w:val="center"/>
        <w:tblLook w:firstColumn="1" w:firstRow="1" w:lastColumn="0" w:lastRow="0" w:noHBand="0" w:noVBand="1" w:val="04A0"/>
      </w:tblPr>
      <w:tblGrid>
        <w:gridCol w:w="9360"/>
      </w:tblGrid>
      <w:tr>
        <w:tc>
          <w:tcPr>
            <w:tcW w:type="dxa" w:w="9360"/>
            <w:shd w:fill="FAFBFD"/>
            <w:tcMar>
              <w:top w:w="140" w:type="dxa"/>
              <w:bottom w:w="140" w:type="dxa"/>
              <w:left w:w="180" w:type="dxa"/>
              <w:right w:w="180" w:type="dxa"/>
            </w:tcMar>
            <w:tcBorders>
              <w:left w:val="single" w:sz="6" w:space="0" w:color="1B365D"/>
              <w:top w:val="single" w:sz="6" w:space="0" w:color="1B365D"/>
              <w:right w:val="single" w:sz="6" w:space="0" w:color="1B365D"/>
              <w:bottom w:val="single" w:sz="6" w:space="0" w:color="1B365D"/>
            </w:tcBorders>
          </w:tcPr>
          <w:p>
            <w:pPr>
              <w:spacing w:before="0" w:after="0" w:line="276" w:lineRule="auto"/>
            </w:pPr>
            <w:r>
              <w:rPr>
                <w:rFonts w:ascii="Consolas" w:hAnsi="Consolas"/>
                <w:color w:val="1B365D"/>
                <w:sz w:val="19"/>
              </w:rPr>
              <w:t>[ ROLES ] ─── (1:N) ───► [ USERS ]</w:t>
              <w:br/>
              <w:t xml:space="preserve">                             │</w:t>
              <w:br/>
              <w:t xml:space="preserve">            ┌────────────────┼────────────────┐</w:t>
              <w:br/>
              <w:t xml:space="preserve">            ▼                ▼                ▼</w:t>
              <w:br/>
              <w:t xml:space="preserve">     [ AUDIT_LOGS ]   [ DOCUMENTS ]    [ NOTIFICATIONS ]</w:t>
              <w:br/>
              <w:t xml:space="preserve">                             ▲</w:t>
              <w:br/>
              <w:t xml:space="preserve">                             │ (1:N)</w:t>
              <w:br/>
              <w:t xml:space="preserve">                     [ COMPANIES ]</w:t>
              <w:br/>
              <w:t xml:space="preserve">                             │ (1:N)</w:t>
              <w:br/>
              <w:t xml:space="preserve">                             ▼</w:t>
              <w:br/>
              <w:t xml:space="preserve">                        [ LOANS ]</w:t>
              <w:br/>
              <w:t xml:space="preserve">                             │ (1:N)</w:t>
              <w:br/>
              <w:t xml:space="preserve">                             ▼</w:t>
              <w:br/>
              <w:t xml:space="preserve">                 [ REPAYMENT_SCHEDULES ] ◄──────────────┐</w:t>
              <w:br/>
              <w:t xml:space="preserve">                             │                          │</w:t>
              <w:br/>
              <w:t xml:space="preserve">                             ▼ (Logical Flow)           │</w:t>
              <w:br/>
              <w:t xml:space="preserve">                        [ PAYMENTS ]                    │</w:t>
              <w:br/>
              <w:t xml:space="preserve">                             │ (1:N)                    │ (1:N)</w:t>
              <w:br/>
              <w:t xml:space="preserve">                             ▼                          │</w:t>
              <w:br/>
              <w:t xml:space="preserve">               [ RECONCILIATION_CASES ]                 │</w:t>
              <w:br/>
              <w:t xml:space="preserve">                             │ (1:N)                    │</w:t>
              <w:br/>
              <w:t xml:space="preserve">                             ▼                          │</w:t>
              <w:br/>
              <w:t xml:space="preserve">               [ AI_RECOMMENDATIONS ]                   │</w:t>
              <w:br/>
              <w:t xml:space="preserve">                             │                          │</w:t>
              <w:br/>
              <w:t xml:space="preserve">                             ▼                          │</w:t>
              <w:br/>
              <w:t xml:space="preserve">                      (HUMAN REVIEW)                    │</w:t>
              <w:br/>
              <w:t xml:space="preserve">                             │                          │</w:t>
              <w:br/>
              <w:t xml:space="preserve">                             ▼                          │</w:t>
              <w:br/>
              <w:t xml:space="preserve">               [ PAYMENT_ALLOCATIONS ] ─────────────────┘</w:t>
            </w:r>
          </w:p>
        </w:tc>
      </w:tr>
    </w:tbl>
    <w:p/>
    <w:p>
      <w:pPr>
        <w:spacing w:before="280" w:after="120" w:line="276" w:lineRule="auto"/>
      </w:pPr>
      <w:r>
        <w:rPr>
          <w:rFonts w:ascii="Calibri Light" w:hAnsi="Calibri Light"/>
          <w:b/>
          <w:color w:val="1B365D"/>
          <w:sz w:val="32"/>
        </w:rPr>
        <w:t>3. Detailed Entity Relationship Breakdown</w:t>
      </w:r>
    </w:p>
    <w:p>
      <w:pPr>
        <w:spacing w:before="160" w:after="40" w:line="276" w:lineRule="auto"/>
      </w:pPr>
      <w:r>
        <w:rPr>
          <w:rFonts w:ascii="Calibri" w:hAnsi="Calibri"/>
          <w:b/>
          <w:color w:val="1B365D"/>
          <w:sz w:val="24"/>
        </w:rPr>
        <w:t>3.1 Roles → Users</w:t>
      </w:r>
    </w:p>
    <w:p>
      <w:pPr>
        <w:spacing w:before="0" w:after="80" w:line="276" w:lineRule="auto"/>
      </w:pPr>
      <w:r>
        <w:rPr>
          <w:b/>
          <w:color w:val="008080"/>
          <w:sz w:val="19"/>
        </w:rPr>
        <w:t>Cardinality / Rule: 1 : N (One-to-Many) | Mapping: roles.id → users.role_id</w:t>
        <w:br/>
      </w:r>
      <w:r>
        <w:t>One role (e.g., Accountant) applies to multiple user accounts (e.g., Arun, Priya, Karthik).</w:t>
      </w:r>
    </w:p>
    <w:p>
      <w:pPr>
        <w:spacing w:before="160" w:after="40" w:line="276" w:lineRule="auto"/>
      </w:pPr>
      <w:r>
        <w:rPr>
          <w:rFonts w:ascii="Calibri" w:hAnsi="Calibri"/>
          <w:b/>
          <w:color w:val="1B365D"/>
          <w:sz w:val="24"/>
        </w:rPr>
        <w:t>3.2 Companies → Loans</w:t>
      </w:r>
    </w:p>
    <w:p>
      <w:pPr>
        <w:spacing w:before="0" w:after="80" w:line="276" w:lineRule="auto"/>
      </w:pPr>
      <w:r>
        <w:rPr>
          <w:b/>
          <w:color w:val="008080"/>
          <w:sz w:val="19"/>
        </w:rPr>
        <w:t>Cardinality / Rule: 1 : N (One-to-Many) | Mapping: companies.id → loans.company_id</w:t>
        <w:br/>
      </w:r>
      <w:r>
        <w:t>A borrowing company (e.g., ABC Technologies) can take out multiple distinct loan facilities (Loan #001, Loan #002, Loan #003).</w:t>
      </w:r>
    </w:p>
    <w:p>
      <w:pPr>
        <w:spacing w:before="160" w:after="40" w:line="276" w:lineRule="auto"/>
      </w:pPr>
      <w:r>
        <w:rPr>
          <w:rFonts w:ascii="Calibri" w:hAnsi="Calibri"/>
          <w:b/>
          <w:color w:val="1B365D"/>
          <w:sz w:val="24"/>
        </w:rPr>
        <w:t>3.3 Loans → Repayment Schedules</w:t>
      </w:r>
    </w:p>
    <w:p>
      <w:pPr>
        <w:spacing w:before="0" w:after="80" w:line="276" w:lineRule="auto"/>
      </w:pPr>
      <w:r>
        <w:rPr>
          <w:b/>
          <w:color w:val="008080"/>
          <w:sz w:val="19"/>
        </w:rPr>
        <w:t>Cardinality / Rule: 1 : N (One-to-Many) | Mapping: loans.id → repayment_schedules.loan_id</w:t>
        <w:br/>
      </w:r>
      <w:r>
        <w:t>Each loan comprises multiple scheduled installments across its lifecycle (Installments 1 through N).</w:t>
      </w:r>
    </w:p>
    <w:p>
      <w:pPr>
        <w:spacing w:before="160" w:after="40" w:line="276" w:lineRule="auto"/>
      </w:pPr>
      <w:r>
        <w:rPr>
          <w:rFonts w:ascii="Calibri" w:hAnsi="Calibri"/>
          <w:b/>
          <w:color w:val="1B365D"/>
          <w:sz w:val="24"/>
        </w:rPr>
        <w:t>3.4 Companies → Documents</w:t>
      </w:r>
    </w:p>
    <w:p>
      <w:pPr>
        <w:spacing w:before="0" w:after="80" w:line="276" w:lineRule="auto"/>
      </w:pPr>
      <w:r>
        <w:rPr>
          <w:b/>
          <w:color w:val="008080"/>
          <w:sz w:val="19"/>
        </w:rPr>
        <w:t>Cardinality / Rule: 1 : N (One-to-Many) | Mapping: companies.id → documents.company_id</w:t>
        <w:br/>
      </w:r>
      <w:r>
        <w:t>A company maintains multiple documents (Loan Agreements, PAN Cards, Bank Statements). Optionally, a document can reference a specific loan (documents.loan_id).</w:t>
      </w:r>
    </w:p>
    <w:p>
      <w:pPr>
        <w:spacing w:before="160" w:after="40" w:line="276" w:lineRule="auto"/>
      </w:pPr>
      <w:r>
        <w:rPr>
          <w:rFonts w:ascii="Calibri" w:hAnsi="Calibri"/>
          <w:b/>
          <w:color w:val="1B365D"/>
          <w:sz w:val="24"/>
        </w:rPr>
        <w:t>3.5 Payments Lifecycle &amp; Decoupling</w:t>
      </w:r>
    </w:p>
    <w:p>
      <w:pPr>
        <w:spacing w:before="0" w:after="80" w:line="276" w:lineRule="auto"/>
      </w:pPr>
      <w:r>
        <w:rPr>
          <w:b/>
          <w:color w:val="008080"/>
          <w:sz w:val="19"/>
        </w:rPr>
        <w:t>Cardinality / Rule: Unmatched Initial State | Mapping: Bank Deposit → payments</w:t>
        <w:br/>
      </w:r>
      <w:r>
        <w:t>Incoming money (e.g., ₹75,000 via Bank) creates an unallocated payment entry with status UNMATCHED. It initially carries no direct company_id or loan_id foreign key.</w:t>
      </w:r>
    </w:p>
    <w:p>
      <w:pPr>
        <w:spacing w:before="160" w:after="40" w:line="276" w:lineRule="auto"/>
      </w:pPr>
      <w:r>
        <w:rPr>
          <w:rFonts w:ascii="Calibri" w:hAnsi="Calibri"/>
          <w:b/>
          <w:color w:val="1B365D"/>
          <w:sz w:val="24"/>
        </w:rPr>
        <w:t>3.6 Payments → Reconciliation Cases</w:t>
      </w:r>
    </w:p>
    <w:p>
      <w:pPr>
        <w:spacing w:before="0" w:after="80" w:line="276" w:lineRule="auto"/>
      </w:pPr>
      <w:r>
        <w:rPr>
          <w:b/>
          <w:color w:val="008080"/>
          <w:sz w:val="19"/>
        </w:rPr>
        <w:t>Cardinality / Rule: 1 : N (Constrained Active Case) | Mapping: payments.id → reconciliation_cases.payment_id</w:t>
        <w:br/>
      </w:r>
      <w:r>
        <w:t>When matching starts (e.g., PAY-1001 for ₹75,000), a reconciliation case (RC-1001) is opened. While supporting full historical re-indexing, strict business rules enforce a single active case at a time.</w:t>
      </w:r>
    </w:p>
    <w:p>
      <w:pPr>
        <w:spacing w:before="160" w:after="40" w:line="276" w:lineRule="auto"/>
      </w:pPr>
      <w:r>
        <w:rPr>
          <w:rFonts w:ascii="Calibri" w:hAnsi="Calibri"/>
          <w:b/>
          <w:color w:val="1B365D"/>
          <w:sz w:val="24"/>
        </w:rPr>
        <w:t>3.7 Reconciliation Cases → AI Recommendations</w:t>
      </w:r>
    </w:p>
    <w:p>
      <w:pPr>
        <w:spacing w:before="0" w:after="80" w:line="276" w:lineRule="auto"/>
      </w:pPr>
      <w:r>
        <w:rPr>
          <w:b/>
          <w:color w:val="008080"/>
          <w:sz w:val="19"/>
        </w:rPr>
        <w:t>Cardinality / Rule: 1 : N (One-to-Many Candidate Scoring) | Mapping: reconciliation_cases.id → ai_recommendations.reconciliation_case_id</w:t>
        <w:br/>
      </w:r>
      <w:r>
        <w:t>For payment ₹75,000, AI evaluates multiple candidates simultaneously:</w:t>
        <w:br/>
        <w:t xml:space="preserve">  • Candidate 1 → ABC Technologies (94% confidence)</w:t>
        <w:br/>
        <w:t xml:space="preserve">  • Candidate 2 → ABC Trading (61% confidence)</w:t>
        <w:br/>
        <w:t xml:space="preserve">  • Candidate 3 → XYZ Industries (28% confidence)</w:t>
        <w:br/>
        <w:t>Retaining candidate evaluation history empowers human reviewers and enhances model auditing.</w:t>
      </w:r>
    </w:p>
    <w:p>
      <w:pPr>
        <w:spacing w:before="160" w:after="40" w:line="276" w:lineRule="auto"/>
      </w:pPr>
      <w:r>
        <w:rPr>
          <w:rFonts w:ascii="Calibri" w:hAnsi="Calibri"/>
          <w:b/>
          <w:color w:val="1B365D"/>
          <w:sz w:val="24"/>
        </w:rPr>
        <w:t>3.8 Payment Allocations (Decoupling Recommendation from Accounting)</w:t>
      </w:r>
    </w:p>
    <w:p>
      <w:pPr>
        <w:spacing w:before="0" w:after="80" w:line="276" w:lineRule="auto"/>
      </w:pPr>
      <w:r>
        <w:rPr>
          <w:b/>
          <w:color w:val="008080"/>
          <w:sz w:val="19"/>
        </w:rPr>
        <w:t>Cardinality / Rule: Workflow Transition | Mapping: AI Recommendation → Human Approval → Payment Allocation</w:t>
        <w:br/>
      </w:r>
      <w:r>
        <w:t>AI recommendations do not modify account balances directly. Actual financial ledger changes only occur after human approval generates a payment_allocations record.</w:t>
      </w:r>
    </w:p>
    <w:p>
      <w:pPr>
        <w:spacing w:before="160" w:after="40" w:line="276" w:lineRule="auto"/>
      </w:pPr>
      <w:r>
        <w:rPr>
          <w:rFonts w:ascii="Calibri" w:hAnsi="Calibri"/>
          <w:b/>
          <w:color w:val="1B365D"/>
          <w:sz w:val="24"/>
        </w:rPr>
        <w:t>3.9 Business Rule Demonstrations</w:t>
      </w:r>
    </w:p>
    <w:p>
      <w:pPr>
        <w:spacing w:before="0" w:after="80" w:line="276" w:lineRule="auto"/>
      </w:pPr>
      <w:r>
        <w:rPr>
          <w:b/>
          <w:color w:val="008080"/>
          <w:sz w:val="19"/>
        </w:rPr>
        <w:t>Cardinality / Rule: Financial Flexibility | Mapping: Allocations &amp; Balances</w:t>
        <w:br/>
      </w:r>
      <w:r>
        <w:t>• Partial Payment Example: Expected ₹100,000; Received ₹75,000. Accountant approves allocation of ₹75,000. Schedule updates: total_due = ₹100,000, amount_paid = ₹75,000, amount_pending = ₹25,000, status = PARTIAL.</w:t>
        <w:br/>
        <w:t>• Multiple Payments for One Installment: Expected ₹100,000. Received ₹40,000 (Payment 1) + ₹35,000 (Payment 2). Two allocation rows link to one schedule row. Total Paid = ₹75,000; Pending = ₹25,000.</w:t>
        <w:br/>
        <w:t>• Payment Split Across Loans: Single incoming wire of ₹150,000 splits into Allocation A (Loan A = ₹100,000) and Allocation B (Loan B = ₹50,000).</w:t>
      </w:r>
    </w:p>
    <w:p>
      <w:pPr>
        <w:spacing w:before="160" w:after="40" w:line="276" w:lineRule="auto"/>
      </w:pPr>
      <w:r>
        <w:rPr>
          <w:rFonts w:ascii="Calibri" w:hAnsi="Calibri"/>
          <w:b/>
          <w:color w:val="1B365D"/>
          <w:sz w:val="24"/>
        </w:rPr>
        <w:t>3.10 Users → Audit Logs &amp; Notifications</w:t>
      </w:r>
    </w:p>
    <w:p>
      <w:pPr>
        <w:spacing w:before="0" w:after="80" w:line="276" w:lineRule="auto"/>
      </w:pPr>
      <w:r>
        <w:rPr>
          <w:b/>
          <w:color w:val="008080"/>
          <w:sz w:val="19"/>
        </w:rPr>
        <w:t>Cardinality / Rule: 1 : N Auditability | Mapping: users.id → audit_logs.user_id / notifications.user_id</w:t>
        <w:br/>
      </w:r>
      <w:r>
        <w:t>Every sensitive operation records WHO, WHAT, WHICH RECORD, WHEN, OLD VALUE, and NEW VALUE in audit_logs. Notifications alert accountants upon high-confidence AI matches.</w:t>
      </w:r>
    </w:p>
    <w:p/>
    <w:p>
      <w:pPr>
        <w:spacing w:before="280" w:after="120" w:line="276" w:lineRule="auto"/>
      </w:pPr>
      <w:r>
        <w:rPr>
          <w:rFonts w:ascii="Calibri Light" w:hAnsi="Calibri Light"/>
          <w:b/>
          <w:color w:val="1B365D"/>
          <w:sz w:val="32"/>
        </w:rPr>
        <w:t>4. Master Entity Relationship Table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B365D"/>
            <w:tcMar>
              <w:top w:w="140" w:type="dxa"/>
              <w:bottom w:w="140" w:type="dxa"/>
              <w:left w:w="140" w:type="dxa"/>
              <w:right w:w="140" w:type="dxa"/>
            </w:tcMar>
          </w:tcPr>
          <w:p>
            <w:pPr>
              <w:spacing w:before="0" w:after="0" w:line="276" w:lineRule="auto"/>
            </w:pPr>
            <w:r>
              <w:rPr>
                <w:b/>
                <w:color w:val="FFFFFF"/>
                <w:sz w:val="20"/>
              </w:rPr>
              <w:t>Parent Table</w:t>
            </w:r>
          </w:p>
        </w:tc>
        <w:tc>
          <w:tcPr>
            <w:tcW w:type="dxa" w:w="2304"/>
            <w:shd w:fill="1B365D"/>
            <w:tcMar>
              <w:top w:w="140" w:type="dxa"/>
              <w:bottom w:w="140" w:type="dxa"/>
              <w:left w:w="140" w:type="dxa"/>
              <w:right w:w="140" w:type="dxa"/>
            </w:tcMar>
          </w:tcPr>
          <w:p>
            <w:pPr>
              <w:spacing w:before="0" w:after="0" w:line="276" w:lineRule="auto"/>
            </w:pPr>
            <w:r>
              <w:rPr>
                <w:b/>
                <w:color w:val="FFFFFF"/>
                <w:sz w:val="20"/>
              </w:rPr>
              <w:t>Child Table</w:t>
            </w:r>
          </w:p>
        </w:tc>
        <w:tc>
          <w:tcPr>
            <w:tcW w:type="dxa" w:w="1440"/>
            <w:shd w:fill="1B365D"/>
            <w:tcMar>
              <w:top w:w="140" w:type="dxa"/>
              <w:bottom w:w="140" w:type="dxa"/>
              <w:left w:w="140" w:type="dxa"/>
              <w:right w:w="140" w:type="dxa"/>
            </w:tcMar>
          </w:tcPr>
          <w:p>
            <w:pPr>
              <w:spacing w:before="0" w:after="0" w:line="276" w:lineRule="auto"/>
            </w:pPr>
            <w:r>
              <w:rPr>
                <w:b/>
                <w:color w:val="FFFFFF"/>
                <w:sz w:val="20"/>
              </w:rPr>
              <w:t>Cardinality</w:t>
            </w:r>
          </w:p>
        </w:tc>
        <w:tc>
          <w:tcPr>
            <w:tcW w:type="dxa" w:w="3456"/>
            <w:shd w:fill="1B365D"/>
            <w:tcMar>
              <w:top w:w="140" w:type="dxa"/>
              <w:bottom w:w="140" w:type="dxa"/>
              <w:left w:w="140" w:type="dxa"/>
              <w:right w:w="140" w:type="dxa"/>
            </w:tcMar>
          </w:tcPr>
          <w:p>
            <w:pPr>
              <w:spacing w:before="0" w:after="0" w:line="276" w:lineRule="auto"/>
            </w:pPr>
            <w:r>
              <w:rPr>
                <w:b/>
                <w:color w:val="FFFFFF"/>
                <w:sz w:val="20"/>
              </w:rPr>
              <w:t>Business &amp; System Reason</w:t>
            </w:r>
          </w:p>
        </w:tc>
      </w:tr>
      <w:tr>
        <w:tc>
          <w:tcPr>
            <w:tcW w:type="dxa" w:w="2160"/>
            <w:shd w:fill="F4F6F9"/>
            <w:tcMar>
              <w:top w:w="100" w:type="dxa"/>
              <w:bottom w:w="100" w:type="dxa"/>
              <w:left w:w="140" w:type="dxa"/>
              <w:right w:w="140" w:type="dxa"/>
            </w:tcMar>
          </w:tcPr>
          <w:p>
            <w:pPr>
              <w:spacing w:before="0" w:after="0" w:line="276" w:lineRule="auto"/>
            </w:pPr>
            <w:r>
              <w:rPr>
                <w:b/>
                <w:sz w:val="19"/>
              </w:rPr>
              <w:t>roles</w:t>
            </w:r>
          </w:p>
        </w:tc>
        <w:tc>
          <w:tcPr>
            <w:tcW w:type="dxa" w:w="2304"/>
            <w:shd w:fill="F4F6F9"/>
            <w:tcMar>
              <w:top w:w="100" w:type="dxa"/>
              <w:bottom w:w="100" w:type="dxa"/>
              <w:left w:w="140" w:type="dxa"/>
              <w:right w:w="140" w:type="dxa"/>
            </w:tcMar>
          </w:tcPr>
          <w:p>
            <w:pPr>
              <w:spacing w:before="0" w:after="0" w:line="276" w:lineRule="auto"/>
            </w:pPr>
            <w:r>
              <w:rPr>
                <w:b/>
                <w:sz w:val="19"/>
              </w:rPr>
              <w:t>users</w:t>
            </w:r>
          </w:p>
        </w:tc>
        <w:tc>
          <w:tcPr>
            <w:tcW w:type="dxa" w:w="1440"/>
            <w:shd w:fill="F4F6F9"/>
            <w:tcMar>
              <w:top w:w="100" w:type="dxa"/>
              <w:bottom w:w="100" w:type="dxa"/>
              <w:left w:w="140" w:type="dxa"/>
              <w:right w:w="140" w:type="dxa"/>
            </w:tcMar>
          </w:tcPr>
          <w:p>
            <w:pPr>
              <w:spacing w:before="0" w:after="0" w:line="276" w:lineRule="auto"/>
            </w:pPr>
            <w:r>
              <w:rPr>
                <w:sz w:val="19"/>
              </w:rPr>
              <w:t>1 : N</w:t>
            </w:r>
          </w:p>
        </w:tc>
        <w:tc>
          <w:tcPr>
            <w:tcW w:type="dxa" w:w="3456"/>
            <w:shd w:fill="F4F6F9"/>
            <w:tcMar>
              <w:top w:w="100" w:type="dxa"/>
              <w:bottom w:w="100" w:type="dxa"/>
              <w:left w:w="140" w:type="dxa"/>
              <w:right w:w="140" w:type="dxa"/>
            </w:tcMar>
          </w:tcPr>
          <w:p>
            <w:pPr>
              <w:spacing w:before="0" w:after="0" w:line="276" w:lineRule="auto"/>
            </w:pPr>
            <w:r>
              <w:rPr>
                <w:sz w:val="19"/>
              </w:rPr>
              <w:t>One security role governs permissions for multiple users.</w:t>
            </w:r>
          </w:p>
        </w:tc>
      </w:tr>
      <w:tr>
        <w:tc>
          <w:tcPr>
            <w:tcW w:type="dxa" w:w="2160"/>
            <w:shd w:fill="FFFFFF"/>
            <w:tcMar>
              <w:top w:w="100" w:type="dxa"/>
              <w:bottom w:w="100" w:type="dxa"/>
              <w:left w:w="140" w:type="dxa"/>
              <w:right w:w="140" w:type="dxa"/>
            </w:tcMar>
          </w:tcPr>
          <w:p>
            <w:pPr>
              <w:spacing w:before="0" w:after="0" w:line="276" w:lineRule="auto"/>
            </w:pPr>
            <w:r>
              <w:rPr>
                <w:b/>
                <w:sz w:val="19"/>
              </w:rPr>
              <w:t>users</w:t>
            </w:r>
          </w:p>
        </w:tc>
        <w:tc>
          <w:tcPr>
            <w:tcW w:type="dxa" w:w="2304"/>
            <w:shd w:fill="FFFFFF"/>
            <w:tcMar>
              <w:top w:w="100" w:type="dxa"/>
              <w:bottom w:w="100" w:type="dxa"/>
              <w:left w:w="140" w:type="dxa"/>
              <w:right w:w="140" w:type="dxa"/>
            </w:tcMar>
          </w:tcPr>
          <w:p>
            <w:pPr>
              <w:spacing w:before="0" w:after="0" w:line="276" w:lineRule="auto"/>
            </w:pPr>
            <w:r>
              <w:rPr>
                <w:b/>
                <w:sz w:val="19"/>
              </w:rPr>
              <w:t>audit_logs</w:t>
            </w:r>
          </w:p>
        </w:tc>
        <w:tc>
          <w:tcPr>
            <w:tcW w:type="dxa" w:w="1440"/>
            <w:shd w:fill="FFFFFF"/>
            <w:tcMar>
              <w:top w:w="100" w:type="dxa"/>
              <w:bottom w:w="100" w:type="dxa"/>
              <w:left w:w="140" w:type="dxa"/>
              <w:right w:w="140" w:type="dxa"/>
            </w:tcMar>
          </w:tcPr>
          <w:p>
            <w:pPr>
              <w:spacing w:before="0" w:after="0" w:line="276" w:lineRule="auto"/>
            </w:pPr>
            <w:r>
              <w:rPr>
                <w:sz w:val="19"/>
              </w:rPr>
              <w:t>1 : N</w:t>
            </w:r>
          </w:p>
        </w:tc>
        <w:tc>
          <w:tcPr>
            <w:tcW w:type="dxa" w:w="3456"/>
            <w:shd w:fill="FFFFFF"/>
            <w:tcMar>
              <w:top w:w="100" w:type="dxa"/>
              <w:bottom w:w="100" w:type="dxa"/>
              <w:left w:w="140" w:type="dxa"/>
              <w:right w:w="140" w:type="dxa"/>
            </w:tcMar>
          </w:tcPr>
          <w:p>
            <w:pPr>
              <w:spacing w:before="0" w:after="0" w:line="276" w:lineRule="auto"/>
            </w:pPr>
            <w:r>
              <w:rPr>
                <w:sz w:val="19"/>
              </w:rPr>
              <w:t>User actions create sequential system audit entries.</w:t>
            </w:r>
          </w:p>
        </w:tc>
      </w:tr>
      <w:tr>
        <w:tc>
          <w:tcPr>
            <w:tcW w:type="dxa" w:w="2160"/>
            <w:shd w:fill="F4F6F9"/>
            <w:tcMar>
              <w:top w:w="100" w:type="dxa"/>
              <w:bottom w:w="100" w:type="dxa"/>
              <w:left w:w="140" w:type="dxa"/>
              <w:right w:w="140" w:type="dxa"/>
            </w:tcMar>
          </w:tcPr>
          <w:p>
            <w:pPr>
              <w:spacing w:before="0" w:after="0" w:line="276" w:lineRule="auto"/>
            </w:pPr>
            <w:r>
              <w:rPr>
                <w:b/>
                <w:sz w:val="19"/>
              </w:rPr>
              <w:t>users</w:t>
            </w:r>
          </w:p>
        </w:tc>
        <w:tc>
          <w:tcPr>
            <w:tcW w:type="dxa" w:w="2304"/>
            <w:shd w:fill="F4F6F9"/>
            <w:tcMar>
              <w:top w:w="100" w:type="dxa"/>
              <w:bottom w:w="100" w:type="dxa"/>
              <w:left w:w="140" w:type="dxa"/>
              <w:right w:w="140" w:type="dxa"/>
            </w:tcMar>
          </w:tcPr>
          <w:p>
            <w:pPr>
              <w:spacing w:before="0" w:after="0" w:line="276" w:lineRule="auto"/>
            </w:pPr>
            <w:r>
              <w:rPr>
                <w:b/>
                <w:sz w:val="19"/>
              </w:rPr>
              <w:t>notifications</w:t>
            </w:r>
          </w:p>
        </w:tc>
        <w:tc>
          <w:tcPr>
            <w:tcW w:type="dxa" w:w="1440"/>
            <w:shd w:fill="F4F6F9"/>
            <w:tcMar>
              <w:top w:w="100" w:type="dxa"/>
              <w:bottom w:w="100" w:type="dxa"/>
              <w:left w:w="140" w:type="dxa"/>
              <w:right w:w="140" w:type="dxa"/>
            </w:tcMar>
          </w:tcPr>
          <w:p>
            <w:pPr>
              <w:spacing w:before="0" w:after="0" w:line="276" w:lineRule="auto"/>
            </w:pPr>
            <w:r>
              <w:rPr>
                <w:sz w:val="19"/>
              </w:rPr>
              <w:t>1 : N</w:t>
            </w:r>
          </w:p>
        </w:tc>
        <w:tc>
          <w:tcPr>
            <w:tcW w:type="dxa" w:w="3456"/>
            <w:shd w:fill="F4F6F9"/>
            <w:tcMar>
              <w:top w:w="100" w:type="dxa"/>
              <w:bottom w:w="100" w:type="dxa"/>
              <w:left w:w="140" w:type="dxa"/>
              <w:right w:w="140" w:type="dxa"/>
            </w:tcMar>
          </w:tcPr>
          <w:p>
            <w:pPr>
              <w:spacing w:before="0" w:after="0" w:line="276" w:lineRule="auto"/>
            </w:pPr>
            <w:r>
              <w:rPr>
                <w:sz w:val="19"/>
              </w:rPr>
              <w:t>System dispatches alerts and task queues to specific users.</w:t>
            </w:r>
          </w:p>
        </w:tc>
      </w:tr>
      <w:tr>
        <w:tc>
          <w:tcPr>
            <w:tcW w:type="dxa" w:w="2160"/>
            <w:shd w:fill="FFFFFF"/>
            <w:tcMar>
              <w:top w:w="100" w:type="dxa"/>
              <w:bottom w:w="100" w:type="dxa"/>
              <w:left w:w="140" w:type="dxa"/>
              <w:right w:w="140" w:type="dxa"/>
            </w:tcMar>
          </w:tcPr>
          <w:p>
            <w:pPr>
              <w:spacing w:before="0" w:after="0" w:line="276" w:lineRule="auto"/>
            </w:pPr>
            <w:r>
              <w:rPr>
                <w:b/>
                <w:sz w:val="19"/>
              </w:rPr>
              <w:t>companies</w:t>
            </w:r>
          </w:p>
        </w:tc>
        <w:tc>
          <w:tcPr>
            <w:tcW w:type="dxa" w:w="2304"/>
            <w:shd w:fill="FFFFFF"/>
            <w:tcMar>
              <w:top w:w="100" w:type="dxa"/>
              <w:bottom w:w="100" w:type="dxa"/>
              <w:left w:w="140" w:type="dxa"/>
              <w:right w:w="140" w:type="dxa"/>
            </w:tcMar>
          </w:tcPr>
          <w:p>
            <w:pPr>
              <w:spacing w:before="0" w:after="0" w:line="276" w:lineRule="auto"/>
            </w:pPr>
            <w:r>
              <w:rPr>
                <w:b/>
                <w:sz w:val="19"/>
              </w:rPr>
              <w:t>loans</w:t>
            </w:r>
          </w:p>
        </w:tc>
        <w:tc>
          <w:tcPr>
            <w:tcW w:type="dxa" w:w="1440"/>
            <w:shd w:fill="FFFFFF"/>
            <w:tcMar>
              <w:top w:w="100" w:type="dxa"/>
              <w:bottom w:w="100" w:type="dxa"/>
              <w:left w:w="140" w:type="dxa"/>
              <w:right w:w="140" w:type="dxa"/>
            </w:tcMar>
          </w:tcPr>
          <w:p>
            <w:pPr>
              <w:spacing w:before="0" w:after="0" w:line="276" w:lineRule="auto"/>
            </w:pPr>
            <w:r>
              <w:rPr>
                <w:sz w:val="19"/>
              </w:rPr>
              <w:t>1 : N</w:t>
            </w:r>
          </w:p>
        </w:tc>
        <w:tc>
          <w:tcPr>
            <w:tcW w:type="dxa" w:w="3456"/>
            <w:shd w:fill="FFFFFF"/>
            <w:tcMar>
              <w:top w:w="100" w:type="dxa"/>
              <w:bottom w:w="100" w:type="dxa"/>
              <w:left w:w="140" w:type="dxa"/>
              <w:right w:w="140" w:type="dxa"/>
            </w:tcMar>
          </w:tcPr>
          <w:p>
            <w:pPr>
              <w:spacing w:before="0" w:after="0" w:line="276" w:lineRule="auto"/>
            </w:pPr>
            <w:r>
              <w:rPr>
                <w:sz w:val="19"/>
              </w:rPr>
              <w:t>A corporate borrower can maintain multiple loan accounts.</w:t>
            </w:r>
          </w:p>
        </w:tc>
      </w:tr>
      <w:tr>
        <w:tc>
          <w:tcPr>
            <w:tcW w:type="dxa" w:w="2160"/>
            <w:shd w:fill="F4F6F9"/>
            <w:tcMar>
              <w:top w:w="100" w:type="dxa"/>
              <w:bottom w:w="100" w:type="dxa"/>
              <w:left w:w="140" w:type="dxa"/>
              <w:right w:w="140" w:type="dxa"/>
            </w:tcMar>
          </w:tcPr>
          <w:p>
            <w:pPr>
              <w:spacing w:before="0" w:after="0" w:line="276" w:lineRule="auto"/>
            </w:pPr>
            <w:r>
              <w:rPr>
                <w:b/>
                <w:sz w:val="19"/>
              </w:rPr>
              <w:t>companies</w:t>
            </w:r>
          </w:p>
        </w:tc>
        <w:tc>
          <w:tcPr>
            <w:tcW w:type="dxa" w:w="2304"/>
            <w:shd w:fill="F4F6F9"/>
            <w:tcMar>
              <w:top w:w="100" w:type="dxa"/>
              <w:bottom w:w="100" w:type="dxa"/>
              <w:left w:w="140" w:type="dxa"/>
              <w:right w:w="140" w:type="dxa"/>
            </w:tcMar>
          </w:tcPr>
          <w:p>
            <w:pPr>
              <w:spacing w:before="0" w:after="0" w:line="276" w:lineRule="auto"/>
            </w:pPr>
            <w:r>
              <w:rPr>
                <w:b/>
                <w:sz w:val="19"/>
              </w:rPr>
              <w:t>documents</w:t>
            </w:r>
          </w:p>
        </w:tc>
        <w:tc>
          <w:tcPr>
            <w:tcW w:type="dxa" w:w="1440"/>
            <w:shd w:fill="F4F6F9"/>
            <w:tcMar>
              <w:top w:w="100" w:type="dxa"/>
              <w:bottom w:w="100" w:type="dxa"/>
              <w:left w:w="140" w:type="dxa"/>
              <w:right w:w="140" w:type="dxa"/>
            </w:tcMar>
          </w:tcPr>
          <w:p>
            <w:pPr>
              <w:spacing w:before="0" w:after="0" w:line="276" w:lineRule="auto"/>
            </w:pPr>
            <w:r>
              <w:rPr>
                <w:sz w:val="19"/>
              </w:rPr>
              <w:t>1 : N</w:t>
            </w:r>
          </w:p>
        </w:tc>
        <w:tc>
          <w:tcPr>
            <w:tcW w:type="dxa" w:w="3456"/>
            <w:shd w:fill="F4F6F9"/>
            <w:tcMar>
              <w:top w:w="100" w:type="dxa"/>
              <w:bottom w:w="100" w:type="dxa"/>
              <w:left w:w="140" w:type="dxa"/>
              <w:right w:w="140" w:type="dxa"/>
            </w:tcMar>
          </w:tcPr>
          <w:p>
            <w:pPr>
              <w:spacing w:before="0" w:after="0" w:line="276" w:lineRule="auto"/>
            </w:pPr>
            <w:r>
              <w:rPr>
                <w:sz w:val="19"/>
              </w:rPr>
              <w:t>Corporate compliance &amp; identity documents belong to a company.</w:t>
            </w:r>
          </w:p>
        </w:tc>
      </w:tr>
      <w:tr>
        <w:tc>
          <w:tcPr>
            <w:tcW w:type="dxa" w:w="2160"/>
            <w:shd w:fill="FFFFFF"/>
            <w:tcMar>
              <w:top w:w="100" w:type="dxa"/>
              <w:bottom w:w="100" w:type="dxa"/>
              <w:left w:w="140" w:type="dxa"/>
              <w:right w:w="140" w:type="dxa"/>
            </w:tcMar>
          </w:tcPr>
          <w:p>
            <w:pPr>
              <w:spacing w:before="0" w:after="0" w:line="276" w:lineRule="auto"/>
            </w:pPr>
            <w:r>
              <w:rPr>
                <w:b/>
                <w:sz w:val="19"/>
              </w:rPr>
              <w:t>loans</w:t>
            </w:r>
          </w:p>
        </w:tc>
        <w:tc>
          <w:tcPr>
            <w:tcW w:type="dxa" w:w="2304"/>
            <w:shd w:fill="FFFFFF"/>
            <w:tcMar>
              <w:top w:w="100" w:type="dxa"/>
              <w:bottom w:w="100" w:type="dxa"/>
              <w:left w:w="140" w:type="dxa"/>
              <w:right w:w="140" w:type="dxa"/>
            </w:tcMar>
          </w:tcPr>
          <w:p>
            <w:pPr>
              <w:spacing w:before="0" w:after="0" w:line="276" w:lineRule="auto"/>
            </w:pPr>
            <w:r>
              <w:rPr>
                <w:b/>
                <w:sz w:val="19"/>
              </w:rPr>
              <w:t>repayment_schedules</w:t>
            </w:r>
          </w:p>
        </w:tc>
        <w:tc>
          <w:tcPr>
            <w:tcW w:type="dxa" w:w="1440"/>
            <w:shd w:fill="FFFFFF"/>
            <w:tcMar>
              <w:top w:w="100" w:type="dxa"/>
              <w:bottom w:w="100" w:type="dxa"/>
              <w:left w:w="140" w:type="dxa"/>
              <w:right w:w="140" w:type="dxa"/>
            </w:tcMar>
          </w:tcPr>
          <w:p>
            <w:pPr>
              <w:spacing w:before="0" w:after="0" w:line="276" w:lineRule="auto"/>
            </w:pPr>
            <w:r>
              <w:rPr>
                <w:sz w:val="19"/>
              </w:rPr>
              <w:t>1 : N</w:t>
            </w:r>
          </w:p>
        </w:tc>
        <w:tc>
          <w:tcPr>
            <w:tcW w:type="dxa" w:w="3456"/>
            <w:shd w:fill="FFFFFF"/>
            <w:tcMar>
              <w:top w:w="100" w:type="dxa"/>
              <w:bottom w:w="100" w:type="dxa"/>
              <w:left w:w="140" w:type="dxa"/>
              <w:right w:w="140" w:type="dxa"/>
            </w:tcMar>
          </w:tcPr>
          <w:p>
            <w:pPr>
              <w:spacing w:before="0" w:after="0" w:line="276" w:lineRule="auto"/>
            </w:pPr>
            <w:r>
              <w:rPr>
                <w:sz w:val="19"/>
              </w:rPr>
              <w:t>Loans are structured into recurring installment payments.</w:t>
            </w:r>
          </w:p>
        </w:tc>
      </w:tr>
      <w:tr>
        <w:tc>
          <w:tcPr>
            <w:tcW w:type="dxa" w:w="2160"/>
            <w:shd w:fill="F4F6F9"/>
            <w:tcMar>
              <w:top w:w="100" w:type="dxa"/>
              <w:bottom w:w="100" w:type="dxa"/>
              <w:left w:w="140" w:type="dxa"/>
              <w:right w:w="140" w:type="dxa"/>
            </w:tcMar>
          </w:tcPr>
          <w:p>
            <w:pPr>
              <w:spacing w:before="0" w:after="0" w:line="276" w:lineRule="auto"/>
            </w:pPr>
            <w:r>
              <w:rPr>
                <w:b/>
                <w:sz w:val="19"/>
              </w:rPr>
              <w:t>payments</w:t>
            </w:r>
          </w:p>
        </w:tc>
        <w:tc>
          <w:tcPr>
            <w:tcW w:type="dxa" w:w="2304"/>
            <w:shd w:fill="F4F6F9"/>
            <w:tcMar>
              <w:top w:w="100" w:type="dxa"/>
              <w:bottom w:w="100" w:type="dxa"/>
              <w:left w:w="140" w:type="dxa"/>
              <w:right w:w="140" w:type="dxa"/>
            </w:tcMar>
          </w:tcPr>
          <w:p>
            <w:pPr>
              <w:spacing w:before="0" w:after="0" w:line="276" w:lineRule="auto"/>
            </w:pPr>
            <w:r>
              <w:rPr>
                <w:b/>
                <w:sz w:val="19"/>
              </w:rPr>
              <w:t>reconciliation_cases</w:t>
            </w:r>
          </w:p>
        </w:tc>
        <w:tc>
          <w:tcPr>
            <w:tcW w:type="dxa" w:w="1440"/>
            <w:shd w:fill="F4F6F9"/>
            <w:tcMar>
              <w:top w:w="100" w:type="dxa"/>
              <w:bottom w:w="100" w:type="dxa"/>
              <w:left w:w="140" w:type="dxa"/>
              <w:right w:w="140" w:type="dxa"/>
            </w:tcMar>
          </w:tcPr>
          <w:p>
            <w:pPr>
              <w:spacing w:before="0" w:after="0" w:line="276" w:lineRule="auto"/>
            </w:pPr>
            <w:r>
              <w:rPr>
                <w:sz w:val="19"/>
              </w:rPr>
              <w:t>1 : N*</w:t>
            </w:r>
          </w:p>
        </w:tc>
        <w:tc>
          <w:tcPr>
            <w:tcW w:type="dxa" w:w="3456"/>
            <w:shd w:fill="F4F6F9"/>
            <w:tcMar>
              <w:top w:w="100" w:type="dxa"/>
              <w:bottom w:w="100" w:type="dxa"/>
              <w:left w:w="140" w:type="dxa"/>
              <w:right w:w="140" w:type="dxa"/>
            </w:tcMar>
          </w:tcPr>
          <w:p>
            <w:pPr>
              <w:spacing w:before="0" w:after="0" w:line="276" w:lineRule="auto"/>
            </w:pPr>
            <w:r>
              <w:rPr>
                <w:sz w:val="19"/>
              </w:rPr>
              <w:t>Payments generate reconciliation investigation cases (1 active).</w:t>
            </w:r>
          </w:p>
        </w:tc>
      </w:tr>
      <w:tr>
        <w:tc>
          <w:tcPr>
            <w:tcW w:type="dxa" w:w="2160"/>
            <w:shd w:fill="FFFFFF"/>
            <w:tcMar>
              <w:top w:w="100" w:type="dxa"/>
              <w:bottom w:w="100" w:type="dxa"/>
              <w:left w:w="140" w:type="dxa"/>
              <w:right w:w="140" w:type="dxa"/>
            </w:tcMar>
          </w:tcPr>
          <w:p>
            <w:pPr>
              <w:spacing w:before="0" w:after="0" w:line="276" w:lineRule="auto"/>
            </w:pPr>
            <w:r>
              <w:rPr>
                <w:b/>
                <w:sz w:val="19"/>
              </w:rPr>
              <w:t>reconciliation_cases</w:t>
            </w:r>
          </w:p>
        </w:tc>
        <w:tc>
          <w:tcPr>
            <w:tcW w:type="dxa" w:w="2304"/>
            <w:shd w:fill="FFFFFF"/>
            <w:tcMar>
              <w:top w:w="100" w:type="dxa"/>
              <w:bottom w:w="100" w:type="dxa"/>
              <w:left w:w="140" w:type="dxa"/>
              <w:right w:w="140" w:type="dxa"/>
            </w:tcMar>
          </w:tcPr>
          <w:p>
            <w:pPr>
              <w:spacing w:before="0" w:after="0" w:line="276" w:lineRule="auto"/>
            </w:pPr>
            <w:r>
              <w:rPr>
                <w:b/>
                <w:sz w:val="19"/>
              </w:rPr>
              <w:t>ai_recommendations</w:t>
            </w:r>
          </w:p>
        </w:tc>
        <w:tc>
          <w:tcPr>
            <w:tcW w:type="dxa" w:w="1440"/>
            <w:shd w:fill="FFFFFF"/>
            <w:tcMar>
              <w:top w:w="100" w:type="dxa"/>
              <w:bottom w:w="100" w:type="dxa"/>
              <w:left w:w="140" w:type="dxa"/>
              <w:right w:w="140" w:type="dxa"/>
            </w:tcMar>
          </w:tcPr>
          <w:p>
            <w:pPr>
              <w:spacing w:before="0" w:after="0" w:line="276" w:lineRule="auto"/>
            </w:pPr>
            <w:r>
              <w:rPr>
                <w:sz w:val="19"/>
              </w:rPr>
              <w:t>1 : N</w:t>
            </w:r>
          </w:p>
        </w:tc>
        <w:tc>
          <w:tcPr>
            <w:tcW w:type="dxa" w:w="3456"/>
            <w:shd w:fill="FFFFFF"/>
            <w:tcMar>
              <w:top w:w="100" w:type="dxa"/>
              <w:bottom w:w="100" w:type="dxa"/>
              <w:left w:w="140" w:type="dxa"/>
              <w:right w:w="140" w:type="dxa"/>
            </w:tcMar>
          </w:tcPr>
          <w:p>
            <w:pPr>
              <w:spacing w:before="0" w:after="0" w:line="276" w:lineRule="auto"/>
            </w:pPr>
            <w:r>
              <w:rPr>
                <w:sz w:val="19"/>
              </w:rPr>
              <w:t>AI generates ranked matching candidates per case.</w:t>
            </w:r>
          </w:p>
        </w:tc>
      </w:tr>
      <w:tr>
        <w:tc>
          <w:tcPr>
            <w:tcW w:type="dxa" w:w="2160"/>
            <w:shd w:fill="F4F6F9"/>
            <w:tcMar>
              <w:top w:w="100" w:type="dxa"/>
              <w:bottom w:w="100" w:type="dxa"/>
              <w:left w:w="140" w:type="dxa"/>
              <w:right w:w="140" w:type="dxa"/>
            </w:tcMar>
          </w:tcPr>
          <w:p>
            <w:pPr>
              <w:spacing w:before="0" w:after="0" w:line="276" w:lineRule="auto"/>
            </w:pPr>
            <w:r>
              <w:rPr>
                <w:b/>
                <w:sz w:val="19"/>
              </w:rPr>
              <w:t>payments</w:t>
            </w:r>
          </w:p>
        </w:tc>
        <w:tc>
          <w:tcPr>
            <w:tcW w:type="dxa" w:w="2304"/>
            <w:shd w:fill="F4F6F9"/>
            <w:tcMar>
              <w:top w:w="100" w:type="dxa"/>
              <w:bottom w:w="100" w:type="dxa"/>
              <w:left w:w="140" w:type="dxa"/>
              <w:right w:w="140" w:type="dxa"/>
            </w:tcMar>
          </w:tcPr>
          <w:p>
            <w:pPr>
              <w:spacing w:before="0" w:after="0" w:line="276" w:lineRule="auto"/>
            </w:pPr>
            <w:r>
              <w:rPr>
                <w:b/>
                <w:sz w:val="19"/>
              </w:rPr>
              <w:t>payment_allocations</w:t>
            </w:r>
          </w:p>
        </w:tc>
        <w:tc>
          <w:tcPr>
            <w:tcW w:type="dxa" w:w="1440"/>
            <w:shd w:fill="F4F6F9"/>
            <w:tcMar>
              <w:top w:w="100" w:type="dxa"/>
              <w:bottom w:w="100" w:type="dxa"/>
              <w:left w:w="140" w:type="dxa"/>
              <w:right w:w="140" w:type="dxa"/>
            </w:tcMar>
          </w:tcPr>
          <w:p>
            <w:pPr>
              <w:spacing w:before="0" w:after="0" w:line="276" w:lineRule="auto"/>
            </w:pPr>
            <w:r>
              <w:rPr>
                <w:sz w:val="19"/>
              </w:rPr>
              <w:t>1 : N</w:t>
            </w:r>
          </w:p>
        </w:tc>
        <w:tc>
          <w:tcPr>
            <w:tcW w:type="dxa" w:w="3456"/>
            <w:shd w:fill="F4F6F9"/>
            <w:tcMar>
              <w:top w:w="100" w:type="dxa"/>
              <w:bottom w:w="100" w:type="dxa"/>
              <w:left w:w="140" w:type="dxa"/>
              <w:right w:w="140" w:type="dxa"/>
            </w:tcMar>
          </w:tcPr>
          <w:p>
            <w:pPr>
              <w:spacing w:before="0" w:after="0" w:line="276" w:lineRule="auto"/>
            </w:pPr>
            <w:r>
              <w:rPr>
                <w:sz w:val="19"/>
              </w:rPr>
              <w:t>One lump-sum payment can be split into multiple ledger allocations.</w:t>
            </w:r>
          </w:p>
        </w:tc>
      </w:tr>
      <w:tr>
        <w:tc>
          <w:tcPr>
            <w:tcW w:type="dxa" w:w="2160"/>
            <w:shd w:fill="FFFFFF"/>
            <w:tcMar>
              <w:top w:w="100" w:type="dxa"/>
              <w:bottom w:w="100" w:type="dxa"/>
              <w:left w:w="140" w:type="dxa"/>
              <w:right w:w="140" w:type="dxa"/>
            </w:tcMar>
          </w:tcPr>
          <w:p>
            <w:pPr>
              <w:spacing w:before="0" w:after="0" w:line="276" w:lineRule="auto"/>
            </w:pPr>
            <w:r>
              <w:rPr>
                <w:b/>
                <w:sz w:val="19"/>
              </w:rPr>
              <w:t>repayment_schedules</w:t>
            </w:r>
          </w:p>
        </w:tc>
        <w:tc>
          <w:tcPr>
            <w:tcW w:type="dxa" w:w="2304"/>
            <w:shd w:fill="FFFFFF"/>
            <w:tcMar>
              <w:top w:w="100" w:type="dxa"/>
              <w:bottom w:w="100" w:type="dxa"/>
              <w:left w:w="140" w:type="dxa"/>
              <w:right w:w="140" w:type="dxa"/>
            </w:tcMar>
          </w:tcPr>
          <w:p>
            <w:pPr>
              <w:spacing w:before="0" w:after="0" w:line="276" w:lineRule="auto"/>
            </w:pPr>
            <w:r>
              <w:rPr>
                <w:b/>
                <w:sz w:val="19"/>
              </w:rPr>
              <w:t>payment_allocations</w:t>
            </w:r>
          </w:p>
        </w:tc>
        <w:tc>
          <w:tcPr>
            <w:tcW w:type="dxa" w:w="1440"/>
            <w:shd w:fill="FFFFFF"/>
            <w:tcMar>
              <w:top w:w="100" w:type="dxa"/>
              <w:bottom w:w="100" w:type="dxa"/>
              <w:left w:w="140" w:type="dxa"/>
              <w:right w:w="140" w:type="dxa"/>
            </w:tcMar>
          </w:tcPr>
          <w:p>
            <w:pPr>
              <w:spacing w:before="0" w:after="0" w:line="276" w:lineRule="auto"/>
            </w:pPr>
            <w:r>
              <w:rPr>
                <w:sz w:val="19"/>
              </w:rPr>
              <w:t>1 : N</w:t>
            </w:r>
          </w:p>
        </w:tc>
        <w:tc>
          <w:tcPr>
            <w:tcW w:type="dxa" w:w="3456"/>
            <w:shd w:fill="FFFFFF"/>
            <w:tcMar>
              <w:top w:w="100" w:type="dxa"/>
              <w:bottom w:w="100" w:type="dxa"/>
              <w:left w:w="140" w:type="dxa"/>
              <w:right w:w="140" w:type="dxa"/>
            </w:tcMar>
          </w:tcPr>
          <w:p>
            <w:pPr>
              <w:spacing w:before="0" w:after="0" w:line="276" w:lineRule="auto"/>
            </w:pPr>
            <w:r>
              <w:rPr>
                <w:sz w:val="19"/>
              </w:rPr>
              <w:t>An installment can accept multiple partial allocations.</w:t>
            </w:r>
          </w:p>
        </w:tc>
      </w:tr>
      <w:tr>
        <w:tc>
          <w:tcPr>
            <w:tcW w:type="dxa" w:w="2160"/>
            <w:shd w:fill="F4F6F9"/>
            <w:tcMar>
              <w:top w:w="100" w:type="dxa"/>
              <w:bottom w:w="100" w:type="dxa"/>
              <w:left w:w="140" w:type="dxa"/>
              <w:right w:w="140" w:type="dxa"/>
            </w:tcMar>
          </w:tcPr>
          <w:p>
            <w:pPr>
              <w:spacing w:before="0" w:after="0" w:line="276" w:lineRule="auto"/>
            </w:pPr>
            <w:r>
              <w:rPr>
                <w:b/>
                <w:sz w:val="19"/>
              </w:rPr>
              <w:t>users</w:t>
            </w:r>
          </w:p>
        </w:tc>
        <w:tc>
          <w:tcPr>
            <w:tcW w:type="dxa" w:w="2304"/>
            <w:shd w:fill="F4F6F9"/>
            <w:tcMar>
              <w:top w:w="100" w:type="dxa"/>
              <w:bottom w:w="100" w:type="dxa"/>
              <w:left w:w="140" w:type="dxa"/>
              <w:right w:w="140" w:type="dxa"/>
            </w:tcMar>
          </w:tcPr>
          <w:p>
            <w:pPr>
              <w:spacing w:before="0" w:after="0" w:line="276" w:lineRule="auto"/>
            </w:pPr>
            <w:r>
              <w:rPr>
                <w:b/>
                <w:sz w:val="19"/>
              </w:rPr>
              <w:t>documents</w:t>
            </w:r>
          </w:p>
        </w:tc>
        <w:tc>
          <w:tcPr>
            <w:tcW w:type="dxa" w:w="1440"/>
            <w:shd w:fill="F4F6F9"/>
            <w:tcMar>
              <w:top w:w="100" w:type="dxa"/>
              <w:bottom w:w="100" w:type="dxa"/>
              <w:left w:w="140" w:type="dxa"/>
              <w:right w:w="140" w:type="dxa"/>
            </w:tcMar>
          </w:tcPr>
          <w:p>
            <w:pPr>
              <w:spacing w:before="0" w:after="0" w:line="276" w:lineRule="auto"/>
            </w:pPr>
            <w:r>
              <w:rPr>
                <w:sz w:val="19"/>
              </w:rPr>
              <w:t>1 : N</w:t>
            </w:r>
          </w:p>
        </w:tc>
        <w:tc>
          <w:tcPr>
            <w:tcW w:type="dxa" w:w="3456"/>
            <w:shd w:fill="F4F6F9"/>
            <w:tcMar>
              <w:top w:w="100" w:type="dxa"/>
              <w:bottom w:w="100" w:type="dxa"/>
              <w:left w:w="140" w:type="dxa"/>
              <w:right w:w="140" w:type="dxa"/>
            </w:tcMar>
          </w:tcPr>
          <w:p>
            <w:pPr>
              <w:spacing w:before="0" w:after="0" w:line="276" w:lineRule="auto"/>
            </w:pPr>
            <w:r>
              <w:rPr>
                <w:sz w:val="19"/>
              </w:rPr>
              <w:t>Tracks the specific user who uploaded each document.</w:t>
            </w:r>
          </w:p>
        </w:tc>
      </w:tr>
      <w:tr>
        <w:tc>
          <w:tcPr>
            <w:tcW w:type="dxa" w:w="2160"/>
            <w:shd w:fill="FFFFFF"/>
            <w:tcMar>
              <w:top w:w="100" w:type="dxa"/>
              <w:bottom w:w="100" w:type="dxa"/>
              <w:left w:w="140" w:type="dxa"/>
              <w:right w:w="140" w:type="dxa"/>
            </w:tcMar>
          </w:tcPr>
          <w:p>
            <w:pPr>
              <w:spacing w:before="0" w:after="0" w:line="276" w:lineRule="auto"/>
            </w:pPr>
            <w:r>
              <w:rPr>
                <w:b/>
                <w:sz w:val="19"/>
              </w:rPr>
              <w:t>users</w:t>
            </w:r>
          </w:p>
        </w:tc>
        <w:tc>
          <w:tcPr>
            <w:tcW w:type="dxa" w:w="2304"/>
            <w:shd w:fill="FFFFFF"/>
            <w:tcMar>
              <w:top w:w="100" w:type="dxa"/>
              <w:bottom w:w="100" w:type="dxa"/>
              <w:left w:w="140" w:type="dxa"/>
              <w:right w:w="140" w:type="dxa"/>
            </w:tcMar>
          </w:tcPr>
          <w:p>
            <w:pPr>
              <w:spacing w:before="0" w:after="0" w:line="276" w:lineRule="auto"/>
            </w:pPr>
            <w:r>
              <w:rPr>
                <w:b/>
                <w:sz w:val="19"/>
              </w:rPr>
              <w:t>ai_recommendations</w:t>
            </w:r>
          </w:p>
        </w:tc>
        <w:tc>
          <w:tcPr>
            <w:tcW w:type="dxa" w:w="1440"/>
            <w:shd w:fill="FFFFFF"/>
            <w:tcMar>
              <w:top w:w="100" w:type="dxa"/>
              <w:bottom w:w="100" w:type="dxa"/>
              <w:left w:w="140" w:type="dxa"/>
              <w:right w:w="140" w:type="dxa"/>
            </w:tcMar>
          </w:tcPr>
          <w:p>
            <w:pPr>
              <w:spacing w:before="0" w:after="0" w:line="276" w:lineRule="auto"/>
            </w:pPr>
            <w:r>
              <w:rPr>
                <w:sz w:val="19"/>
              </w:rPr>
              <w:t>1 : N</w:t>
            </w:r>
          </w:p>
        </w:tc>
        <w:tc>
          <w:tcPr>
            <w:tcW w:type="dxa" w:w="3456"/>
            <w:shd w:fill="FFFFFF"/>
            <w:tcMar>
              <w:top w:w="100" w:type="dxa"/>
              <w:bottom w:w="100" w:type="dxa"/>
              <w:left w:w="140" w:type="dxa"/>
              <w:right w:w="140" w:type="dxa"/>
            </w:tcMar>
          </w:tcPr>
          <w:p>
            <w:pPr>
              <w:spacing w:before="0" w:after="0" w:line="276" w:lineRule="auto"/>
            </w:pPr>
            <w:r>
              <w:rPr>
                <w:sz w:val="19"/>
              </w:rPr>
              <w:t>Tracks the accountant assigned to review AI suggestions.</w:t>
            </w:r>
          </w:p>
        </w:tc>
      </w:tr>
    </w:tbl>
    <w:p/>
    <w:p>
      <w:pPr>
        <w:spacing w:before="280" w:after="120" w:line="276" w:lineRule="auto"/>
      </w:pPr>
      <w:r>
        <w:rPr>
          <w:rFonts w:ascii="Calibri Light" w:hAnsi="Calibri Light"/>
          <w:b/>
          <w:color w:val="1B365D"/>
          <w:sz w:val="32"/>
        </w:rPr>
        <w:t>5. Architectural Refinements &amp; Mentor Defense Guide</w:t>
      </w:r>
    </w:p>
    <w:p>
      <w:pPr>
        <w:spacing w:before="80" w:after="80" w:line="276" w:lineRule="auto"/>
      </w:pPr>
      <w:r>
        <w:rPr>
          <w:b/>
          <w:color w:val="1B365D"/>
        </w:rPr>
        <w:t>Architectural Improvement: Decoupling Payments from Entities</w:t>
        <w:br/>
      </w:r>
      <w:r>
        <w:t xml:space="preserve">In naive designs, `payments` directly store `company_id`, `loan_id`, and `repayment_id`. FinanceFlow AI explicitly avoids this pattern because incoming bank feeds arrive without contextual metadata. The strictly enforced application lifecycle follows: </w:t>
      </w:r>
    </w:p>
    <w:p>
      <w:pPr>
        <w:spacing w:before="40" w:after="120" w:line="276" w:lineRule="auto"/>
      </w:pPr>
      <w:r>
        <w:rPr>
          <w:rFonts w:ascii="Consolas" w:hAnsi="Consolas"/>
          <w:b/>
          <w:color w:val="008080"/>
          <w:sz w:val="18"/>
        </w:rPr>
        <w:t>BANK PAYMENT ► payments (UNMATCHED) ► AI RECONCILIATION ► AI RECOMMENDATIONS ► HUMAN APPROVAL ► payment_allocations ► COMPANY / LOAN / REPAYMENT</w:t>
      </w:r>
    </w:p>
    <w:p>
      <w:pPr>
        <w:spacing w:before="80" w:after="80" w:line="276" w:lineRule="auto"/>
      </w:pPr>
      <w:r>
        <w:rPr>
          <w:b/>
          <w:color w:val="1B365D"/>
        </w:rPr>
        <w:t>Core System Identity &amp; Mentor Q&amp;A Reference</w:t>
        <w:br/>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60" w:type="dxa"/>
              <w:right w:w="160" w:type="dxa"/>
            </w:tcMar>
          </w:tcPr>
          <w:p>
            <w:pPr>
              <w:spacing w:before="0" w:after="80" w:line="276" w:lineRule="auto"/>
            </w:pPr>
            <w:r>
              <w:rPr>
                <w:b/>
                <w:color w:val="1B365D"/>
              </w:rPr>
              <w:t>Q: What is the central table of the application?</w:t>
            </w:r>
          </w:p>
          <w:p>
            <w:pPr>
              <w:spacing w:before="0" w:after="160" w:line="276" w:lineRule="auto"/>
            </w:pPr>
            <w:r>
              <w:t>A: Rather than static entity tables like `companies`, `payments` and `payment_allocations` form the central engine. FinanceFlow AI bridges the delta between Expected Cashflow and Actual Bank Receipts via automated AI matching and accounting approval.</w:t>
            </w:r>
          </w:p>
          <w:p>
            <w:pPr>
              <w:spacing w:before="0" w:after="80" w:line="276" w:lineRule="auto"/>
            </w:pPr>
            <w:r>
              <w:rPr>
                <w:b/>
                <w:color w:val="1B365D"/>
              </w:rPr>
              <w:t>Q: What happens if an accountant modifies or overrides a payment allocation?</w:t>
            </w:r>
          </w:p>
          <w:p>
            <w:pPr>
              <w:spacing w:before="0" w:after="0" w:line="276" w:lineRule="auto"/>
            </w:pPr>
            <w:r>
              <w:t>A: The operation is fully auditable. The system records the acting User ID, Action Type, Target Entity, Old Values, New Values, and precise Timestamp in `audit_logs`, guaranteeing full historical compliance.</w:t>
            </w:r>
          </w:p>
        </w:tc>
      </w:tr>
    </w:tbl>
    <w:p/>
    <w:p>
      <w:pPr>
        <w:spacing w:before="280" w:after="120" w:line="276" w:lineRule="auto"/>
      </w:pPr>
      <w:r>
        <w:rPr>
          <w:rFonts w:ascii="Calibri Light" w:hAnsi="Calibri Light"/>
          <w:b/>
          <w:color w:val="1B365D"/>
          <w:sz w:val="32"/>
        </w:rPr>
        <w:t>6. Next Steps: Physical Schema Implementation</w:t>
      </w:r>
    </w:p>
    <w:p>
      <w:pPr>
        <w:spacing w:before="0" w:after="80" w:line="276" w:lineRule="auto"/>
      </w:pPr>
      <w:r>
        <w:t>With all relational cardinalities and core workflows approved, the subsequent phase involves defining physical DDL specifications for all 12 tables, specifying:</w:t>
      </w:r>
    </w:p>
    <w:p>
      <w:pPr>
        <w:pStyle w:val="ListBullet"/>
        <w:spacing w:before="0" w:after="40" w:line="276" w:lineRule="auto"/>
      </w:pPr>
      <w:r>
        <w:t>Exact MySQL column data types (e.g., BIGINT, VARCHAR, DECIMAL(15,2), DATETIME, JSON).</w:t>
      </w:r>
    </w:p>
    <w:p>
      <w:pPr>
        <w:pStyle w:val="ListBullet"/>
        <w:spacing w:before="0" w:after="40" w:line="276" w:lineRule="auto"/>
      </w:pPr>
      <w:r>
        <w:t>Primary Key (PK) &amp; Foreign Key (FK) constraint declarations with ON DELETE / ON UPDATE behavior.</w:t>
      </w:r>
    </w:p>
    <w:p>
      <w:pPr>
        <w:pStyle w:val="ListBullet"/>
        <w:spacing w:before="0" w:after="40" w:line="276" w:lineRule="auto"/>
      </w:pPr>
      <w:r>
        <w:t>NULL / NOT NULL rules, DEFAULT expressions, and CHECK validation constraints.</w:t>
      </w:r>
    </w:p>
    <w:p>
      <w:pPr>
        <w:pStyle w:val="ListBullet"/>
        <w:spacing w:before="0" w:after="40" w:line="276" w:lineRule="auto"/>
      </w:pPr>
      <w:r>
        <w:t>Indexes (B-Tree, Composite, Unique) optimized for payment matching and audit lookup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