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Segoe UI" w:hAnsi="Segoe UI"/>
          <w:b/>
          <w:color w:val="1E3A8A"/>
          <w:sz w:val="64"/>
        </w:rPr>
        <w:t>FinanceFlow AI</w:t>
      </w:r>
    </w:p>
    <w:p>
      <w:pPr>
        <w:spacing w:after="400"/>
        <w:jc w:val="center"/>
      </w:pPr>
      <w:r>
        <w:rPr>
          <w:rFonts w:ascii="Segoe UI" w:hAnsi="Segoe UI"/>
          <w:i/>
          <w:color w:val="0D9488"/>
          <w:sz w:val="28"/>
        </w:rPr>
        <w:t>Full-Stack Agentic Financial Operations Platform</w:t>
        <w:br/>
        <w:t>Master Architecture, Data Flow &amp; System Specification Document</w:t>
      </w:r>
    </w:p>
    <w:tbl>
      <w:tblPr>
        <w:tblW w:type="auto" w:w="0"/>
        <w:jc w:val="center"/>
        <w:tblLook w:firstColumn="1" w:firstRow="1" w:lastColumn="0" w:lastRow="0" w:noHBand="0" w:noVBand="1" w:val="04A0"/>
      </w:tblPr>
      <w:tblGrid>
        <w:gridCol w:w="4968"/>
        <w:gridCol w:w="4968"/>
      </w:tblGrid>
      <w:tr>
        <w:tc>
          <w:tcPr>
            <w:tcW w:type="dxa" w:w="2880"/>
            <w:shd w:fill="F1F5F9"/>
          </w:tcPr>
          <w:p>
            <w:r>
              <w:rPr>
                <w:b/>
                <w:color w:val="1E3A8A"/>
                <w:sz w:val="19"/>
              </w:rPr>
              <w:t>Project Name</w:t>
            </w:r>
          </w:p>
        </w:tc>
        <w:tc>
          <w:tcPr>
            <w:tcW w:type="dxa" w:w="6912"/>
            <w:shd w:fill="FFFFFF"/>
          </w:tcPr>
          <w:p>
            <w:r>
              <w:rPr>
                <w:sz w:val="19"/>
              </w:rPr>
              <w:t>FinanceFlow AI (Enterprise Financial Ops Platform)</w:t>
            </w:r>
          </w:p>
        </w:tc>
      </w:tr>
      <w:tr>
        <w:tc>
          <w:tcPr>
            <w:tcW w:type="dxa" w:w="2880"/>
            <w:shd w:fill="F1F5F9"/>
          </w:tcPr>
          <w:p>
            <w:r>
              <w:rPr>
                <w:b/>
                <w:color w:val="1E3A8A"/>
                <w:sz w:val="19"/>
              </w:rPr>
              <w:t>Document Purpose</w:t>
            </w:r>
          </w:p>
        </w:tc>
        <w:tc>
          <w:tcPr>
            <w:tcW w:type="dxa" w:w="6912"/>
            <w:shd w:fill="FFFFFF"/>
          </w:tcPr>
          <w:p>
            <w:r>
              <w:rPr>
                <w:sz w:val="19"/>
              </w:rPr>
              <w:t>Comprehensive Architecture Review &amp; End-to-End Testing Specification</w:t>
            </w:r>
          </w:p>
        </w:tc>
      </w:tr>
      <w:tr>
        <w:tc>
          <w:tcPr>
            <w:tcW w:type="dxa" w:w="2880"/>
            <w:shd w:fill="F1F5F9"/>
          </w:tcPr>
          <w:p>
            <w:r>
              <w:rPr>
                <w:b/>
                <w:color w:val="1E3A8A"/>
                <w:sz w:val="19"/>
              </w:rPr>
              <w:t>Prepared For</w:t>
            </w:r>
          </w:p>
        </w:tc>
        <w:tc>
          <w:tcPr>
            <w:tcW w:type="dxa" w:w="6912"/>
            <w:shd w:fill="FFFFFF"/>
          </w:tcPr>
          <w:p>
            <w:r>
              <w:rPr>
                <w:sz w:val="19"/>
              </w:rPr>
              <w:t>Mentor System Review &amp; Live Demonstration</w:t>
            </w:r>
          </w:p>
        </w:tc>
      </w:tr>
      <w:tr>
        <w:tc>
          <w:tcPr>
            <w:tcW w:type="dxa" w:w="2880"/>
            <w:shd w:fill="F1F5F9"/>
          </w:tcPr>
          <w:p>
            <w:r>
              <w:rPr>
                <w:b/>
                <w:color w:val="1E3A8A"/>
                <w:sz w:val="19"/>
              </w:rPr>
              <w:t>System Version</w:t>
            </w:r>
          </w:p>
        </w:tc>
        <w:tc>
          <w:tcPr>
            <w:tcW w:type="dxa" w:w="6912"/>
            <w:shd w:fill="FFFFFF"/>
          </w:tcPr>
          <w:p>
            <w:r>
              <w:rPr>
                <w:sz w:val="19"/>
              </w:rPr>
              <w:t>1.0.0 Production Release</w:t>
            </w:r>
          </w:p>
        </w:tc>
      </w:tr>
      <w:tr>
        <w:tc>
          <w:tcPr>
            <w:tcW w:type="dxa" w:w="2880"/>
            <w:shd w:fill="F1F5F9"/>
          </w:tcPr>
          <w:p>
            <w:r>
              <w:rPr>
                <w:b/>
                <w:color w:val="1E3A8A"/>
                <w:sz w:val="19"/>
              </w:rPr>
              <w:t>Technology Stack</w:t>
            </w:r>
          </w:p>
        </w:tc>
        <w:tc>
          <w:tcPr>
            <w:tcW w:type="dxa" w:w="6912"/>
            <w:shd w:fill="FFFFFF"/>
          </w:tcPr>
          <w:p>
            <w:r>
              <w:rPr>
                <w:sz w:val="19"/>
              </w:rPr>
              <w:t>React + Vite, Node.js + Express, MySQL 8.0, Groq Llama-3.3 70B, Socket.IO</w:t>
            </w:r>
          </w:p>
        </w:tc>
      </w:tr>
    </w:tbl>
    <w:p>
      <w:pPr>
        <w:spacing w:after="300"/>
      </w:pPr>
    </w:p>
    <w:p>
      <w:pPr>
        <w:keepNext/>
        <w:spacing w:before="360" w:after="120"/>
      </w:pPr>
      <w:r>
        <w:rPr>
          <w:rFonts w:ascii="Segoe UI" w:hAnsi="Segoe UI"/>
          <w:b/>
          <w:color w:val="1E3A8A"/>
          <w:sz w:val="36"/>
        </w:rPr>
        <w:t>1. Executive Summary &amp; System Purpose</w:t>
      </w:r>
    </w:p>
    <w:p>
      <w:r>
        <w:t>FinanceFlow AI is an autonomous, full-stack financial operations application designed to eliminate human latency and error in commercial lending, B2B payment reconciliation, credit risk evaluation, recovery collections, and portfolio monitoring. Traditional financial institutions suffer from massive operational backlogs due to manual bank statement matching, delayed credit assessments, and missed SLA recovery deadlines. FinanceFlow AI solves this by integrating 6 specialized operational AI Agents powered by Groq Llama-3.3 70B, a zero-token Pre-Check Validation Engine, an interactive AI Financial Copilot with 23 function-calling tools, and a strict Human-in-the-Loop settlement workflow.</w:t>
      </w:r>
    </w:p>
    <w:tbl>
      <w:tblPr>
        <w:tblW w:type="auto" w:w="0"/>
        <w:jc w:val="center"/>
        <w:tblLook w:firstColumn="1" w:firstRow="1" w:lastColumn="0" w:lastRow="0" w:noHBand="0" w:noVBand="1" w:val="04A0"/>
      </w:tblPr>
      <w:tblGrid>
        <w:gridCol w:w="9936"/>
      </w:tblGrid>
      <w:tr>
        <w:tc>
          <w:tcPr>
            <w:tcW w:type="dxa" w:w="9792"/>
            <w:shd w:fill="EFF6FF"/>
          </w:tcPr>
          <w:p>
            <w:pPr>
              <w:spacing w:before="80" w:after="80"/>
            </w:pPr>
            <w:r>
              <w:rPr>
                <w:b/>
                <w:color w:val="1E3A8A"/>
                <w:sz w:val="20"/>
              </w:rPr>
              <w:t>📌 CORE SYSTEM VALUE PROPOSITION</w:t>
              <w:br/>
            </w:r>
            <w:r>
              <w:rPr>
                <w:sz w:val="19"/>
              </w:rPr>
              <w:t>FinanceFlow AI combines high-speed rule-based pre-validation with multi-agent Groq LLM intelligence. Simple, high-confidence payments are matched in &lt; 10ms with zero LLM token cost, while ambiguous payments invoke Groq Agent 1 tool loops. All final ledger allocations require explicit 1-click human approval from authorized Senior Accountants.</w:t>
            </w:r>
          </w:p>
        </w:tc>
      </w:tr>
    </w:tbl>
    <w:p>
      <w:pPr>
        <w:spacing w:after="120"/>
      </w:pPr>
    </w:p>
    <w:p>
      <w:pPr>
        <w:keepNext/>
        <w:spacing w:before="360" w:after="120"/>
      </w:pPr>
      <w:r>
        <w:rPr>
          <w:rFonts w:ascii="Segoe UI" w:hAnsi="Segoe UI"/>
          <w:b/>
          <w:color w:val="1E3A8A"/>
          <w:sz w:val="36"/>
        </w:rPr>
        <w:t>2. System Architecture &amp; End-to-End Data Flow</w:t>
      </w:r>
    </w:p>
    <w:p>
      <w:pPr>
        <w:keepNext/>
        <w:spacing w:before="280" w:after="80"/>
      </w:pPr>
      <w:r>
        <w:rPr>
          <w:rFonts w:ascii="Segoe UI" w:hAnsi="Segoe UI"/>
          <w:b/>
          <w:color w:val="0D9488"/>
          <w:sz w:val="27"/>
        </w:rPr>
        <w:t>2.1 High-Level Full-Stack Architecture</w:t>
      </w:r>
    </w:p>
    <w:p>
      <w:r>
        <w:t>The system follows a clean 4-tier decoupled architecture: Frontend Single-Page Application (React + Vite), Express Security &amp; API Layer, Services &amp; Multi-Agent Orchestration Layer, and MySQL Data Layer + Socket.IO WebSockets.</w:t>
      </w:r>
    </w:p>
    <w:p>
      <w:pPr>
        <w:spacing w:before="80" w:after="200"/>
      </w:pPr>
      <w:r>
        <w:rPr>
          <w:rFonts w:ascii="Consolas" w:hAnsi="Consolas"/>
          <w:color w:val="1E293B"/>
          <w:sz w:val="16"/>
        </w:rPr>
        <w:t>┌───────────────────────────────────────────────────────────────────────────────────────────┐</w:t>
        <w:br/>
        <w:t>│                           REACT 18 + VITE FRONTEND APPLICATION                            │</w:t>
        <w:br/>
        <w:t>│  [ Dashboard ] [ Payment Ingestion ] [ Agent Control Center ] [ Borrower Companies ]      │</w:t>
        <w:br/>
        <w:t>│  [ Loan Facilities ] [ Documents ] [ Escalations ] [ Reports ] [ Copilot Assistant Drawer ] │</w:t>
        <w:br/>
        <w:t>└─────────────────────────────────────────────┬─────────────────────────────────────────────┘</w:t>
        <w:br/>
        <w:t xml:space="preserve">                                              │ HTTP Credentials (JWT Cookie / Bearer Header)</w:t>
        <w:br/>
        <w:t xml:space="preserve">                                              ▼</w:t>
        <w:br/>
        <w:t>┌───────────────────────────────────────────────────────────────────────────────────────────┐</w:t>
        <w:br/>
        <w:t>│                          EXPRESS API &amp; SECURITY MIDDLEWARE LAYER                          │</w:t>
        <w:br/>
        <w:t>│  • authenticate Middleware (JWT verification via tokenHelper.js)                         │</w:t>
        <w:br/>
        <w:t>│  • authorize([...roles]) RBAC Middleware (7 Security Roles Enforcement)                   │</w:t>
        <w:br/>
        <w:t>│  • 15 Express Routers (/api/auth, /api/payments, /api/reconciliations, etc.)              │</w:t>
        <w:br/>
        <w:t>└─────────────────────────────────────────────┬─────────────────────────────────────────────┘</w:t>
        <w:br/>
        <w:t xml:space="preserve">                                              │ Validated Request Object (req.user, req.body)</w:t>
        <w:br/>
        <w:t xml:space="preserve">                                              ▼</w:t>
        <w:br/>
        <w:t>┌───────────────────────────────────────────────────────────────────────────────────────────┐</w:t>
        <w:br/>
        <w:t>│                      CONTROLLERS, SERVICES &amp; AI AGENT ENGINE LAYER                        │</w:t>
        <w:br/>
        <w:t>│  • 17 Express Controllers (HTTP Request Parsing &amp; Standardized API Responses)             │</w:t>
        <w:br/>
        <w:t>│  • 11 Service Modules (Business Logic, EMI Amortization, Ledger Allocations)               │</w:t>
        <w:br/>
        <w:t>│  • Pre-Check Engine (Deterministic Hard Check &amp; Scoring: Dup check, Bank match)           │</w:t>
        <w:br/>
        <w:t>│  • 6 Operational AI Agents (Reconciliation, Risk, Collection, Doc, Portfolio, Escalation) │</w:t>
        <w:br/>
        <w:t>│  • AI Copilot Engine (Groq Llama-3.3 70B Function Calling over 23 Database Tools)         │</w:t>
        <w:br/>
        <w:t>└─────────────────────────────────────────────┬─────────────────────────────────────────────┘</w:t>
        <w:br/>
        <w:t xml:space="preserve">                                              │</w:t>
        <w:br/>
        <w:t xml:space="preserve">                       ┌──────────────────────┴──────────────────────┐</w:t>
        <w:br/>
        <w:t xml:space="preserve">                       ▼                                             ▼</w:t>
        <w:br/>
        <w:t>┌──────────────────────────────────────────────┐ ┌──────────────────────────────────────────┐</w:t>
        <w:br/>
        <w:t>│      MYSQL 8.0 CLOUD DATABASE (InnoDB)       │ │     SOCKET.IO REAL-TIME WEBSOCKETS       │</w:t>
        <w:br/>
        <w:t>│  18 Tables with FK Constraints &amp; Indexes     │ │  Bi-Directional Event Emission           │</w:t>
        <w:br/>
        <w:t>│  (payments, schedules, allocations, audit)   │ │  (PAYMENT_INGESTED, RECONCILIATION_DONE) │</w:t>
        <w:br/>
        <w:t>└──────────────────────────────────────────────┘ └──────────────────────────────────────────┘</w:t>
      </w:r>
    </w:p>
    <w:p>
      <w:pPr>
        <w:keepNext/>
        <w:spacing w:before="280" w:after="80"/>
      </w:pPr>
      <w:r>
        <w:rPr>
          <w:rFonts w:ascii="Segoe UI" w:hAnsi="Segoe UI"/>
          <w:b/>
          <w:color w:val="0D9488"/>
          <w:sz w:val="27"/>
        </w:rPr>
        <w:t>2.2 Payment Reconciliation Lifecycle Data Flow</w:t>
      </w:r>
    </w:p>
    <w:p>
      <w:r>
        <w:t>1. Ingestion: Bank deposit arrives via POST /api/payments/ingest. Payment record saved (unmatched) &amp; reconciliation case opened.</w:t>
        <w:br/>
        <w:t>2. Pre-Check Engine: Checks duplicates, bank account match, and EMI schedule match. If Score &gt;= 85%, generates instant CLEAR_MATCH.</w:t>
        <w:br/>
        <w:t>3. Groq Agent 1 Fallback: If Score &lt; 85%, Groq Agent 1 executes tool-calling loop over candidate loan schedules.</w:t>
        <w:br/>
        <w:t>4. Human Approval: Senior Accountant clicks Approve. Settlement Service writes allocation to payment_allocations, updates schedule paid_amount to paid, and logs audit record.</w:t>
        <w:br/>
        <w:t>5. WebSocket Broadcast: Socket.IO emits PAYMENT_INGESTED and RECONCILIATION_COMPLETED to refresh UI live.</w:t>
      </w:r>
    </w:p>
    <w:p>
      <w:pPr>
        <w:keepNext/>
        <w:spacing w:before="360" w:after="120"/>
      </w:pPr>
      <w:r>
        <w:rPr>
          <w:rFonts w:ascii="Segoe UI" w:hAnsi="Segoe UI"/>
          <w:b/>
          <w:color w:val="1E3A8A"/>
          <w:sz w:val="36"/>
        </w:rPr>
        <w:t>3. Complete Feature Implementation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Pr>
          <w:p>
            <w:r>
              <w:rPr>
                <w:b/>
                <w:color w:val="FFFFFF"/>
                <w:sz w:val="19"/>
              </w:rPr>
              <w:t>Feature Category</w:t>
            </w:r>
          </w:p>
        </w:tc>
        <w:tc>
          <w:tcPr>
            <w:tcW w:type="dxa" w:w="2484"/>
            <w:shd w:fill="1E3A8A"/>
          </w:tcPr>
          <w:p>
            <w:r>
              <w:rPr>
                <w:b/>
                <w:color w:val="FFFFFF"/>
                <w:sz w:val="19"/>
              </w:rPr>
              <w:t>Implemented Capabilities</w:t>
            </w:r>
          </w:p>
        </w:tc>
        <w:tc>
          <w:tcPr>
            <w:tcW w:type="dxa" w:w="2484"/>
            <w:shd w:fill="1E3A8A"/>
          </w:tcPr>
          <w:p>
            <w:r>
              <w:rPr>
                <w:b/>
                <w:color w:val="FFFFFF"/>
                <w:sz w:val="19"/>
              </w:rPr>
              <w:t>Backend &amp; Agent Components</w:t>
            </w:r>
          </w:p>
        </w:tc>
        <w:tc>
          <w:tcPr>
            <w:tcW w:type="dxa" w:w="2484"/>
            <w:shd w:fill="1E3A8A"/>
          </w:tcPr>
          <w:p>
            <w:r>
              <w:rPr>
                <w:b/>
                <w:color w:val="FFFFFF"/>
                <w:sz w:val="19"/>
              </w:rPr>
              <w:t>Frontend UI Integration</w:t>
            </w:r>
          </w:p>
        </w:tc>
      </w:tr>
      <w:tr>
        <w:tc>
          <w:tcPr>
            <w:tcW w:type="dxa" w:w="1872"/>
            <w:shd w:fill="FFFFFF"/>
          </w:tcPr>
          <w:p>
            <w:r>
              <w:rPr>
                <w:b/>
                <w:sz w:val="17"/>
              </w:rPr>
              <w:t>Authentication &amp; RBAC</w:t>
            </w:r>
          </w:p>
        </w:tc>
        <w:tc>
          <w:tcPr>
            <w:tcW w:type="dxa" w:w="3168"/>
            <w:shd w:fill="FFFFFF"/>
          </w:tcPr>
          <w:p>
            <w:r>
              <w:rPr>
                <w:sz w:val="17"/>
              </w:rPr>
              <w:t>Bcrypt hashing, JWT HTTP-only cookies, 7-tier role security, invitation tokens</w:t>
            </w:r>
          </w:p>
        </w:tc>
        <w:tc>
          <w:tcPr>
            <w:tcW w:type="dxa" w:w="2592"/>
            <w:shd w:fill="FFFFFF"/>
          </w:tcPr>
          <w:p>
            <w:r>
              <w:rPr>
                <w:sz w:val="17"/>
              </w:rPr>
              <w:t>auth.service.js, tokenHelper.js, rbac.middleware.js</w:t>
            </w:r>
          </w:p>
        </w:tc>
        <w:tc>
          <w:tcPr>
            <w:tcW w:type="dxa" w:w="2160"/>
            <w:shd w:fill="FFFFFF"/>
          </w:tcPr>
          <w:p>
            <w:r>
              <w:rPr>
                <w:sz w:val="17"/>
              </w:rPr>
              <w:t>Login.jsx, AuthContext.jsx, GlobalToastContainer</w:t>
            </w:r>
          </w:p>
        </w:tc>
      </w:tr>
      <w:tr>
        <w:tc>
          <w:tcPr>
            <w:tcW w:type="dxa" w:w="1872"/>
            <w:shd w:fill="F8FAFC"/>
          </w:tcPr>
          <w:p>
            <w:r>
              <w:rPr>
                <w:b/>
                <w:sz w:val="17"/>
              </w:rPr>
              <w:t>Payment Ingestion</w:t>
            </w:r>
          </w:p>
        </w:tc>
        <w:tc>
          <w:tcPr>
            <w:tcW w:type="dxa" w:w="3168"/>
            <w:shd w:fill="F8FAFC"/>
          </w:tcPr>
          <w:p>
            <w:r>
              <w:rPr>
                <w:sz w:val="17"/>
              </w:rPr>
              <w:t>Manual payment entry, mock bank deposit simulation, duplicate detection</w:t>
            </w:r>
          </w:p>
        </w:tc>
        <w:tc>
          <w:tcPr>
            <w:tcW w:type="dxa" w:w="2592"/>
            <w:shd w:fill="F8FAFC"/>
          </w:tcPr>
          <w:p>
            <w:r>
              <w:rPr>
                <w:sz w:val="17"/>
              </w:rPr>
              <w:t>payment.service.js, preCheckEngine.js</w:t>
            </w:r>
          </w:p>
        </w:tc>
        <w:tc>
          <w:tcPr>
            <w:tcW w:type="dxa" w:w="2160"/>
            <w:shd w:fill="F8FAFC"/>
          </w:tcPr>
          <w:p>
            <w:r>
              <w:rPr>
                <w:sz w:val="17"/>
              </w:rPr>
              <w:t>PaymentIngestion.jsx, ActionCenterDrawer.jsx</w:t>
            </w:r>
          </w:p>
        </w:tc>
      </w:tr>
      <w:tr>
        <w:tc>
          <w:tcPr>
            <w:tcW w:type="dxa" w:w="1872"/>
            <w:shd w:fill="FFFFFF"/>
          </w:tcPr>
          <w:p>
            <w:r>
              <w:rPr>
                <w:b/>
                <w:sz w:val="17"/>
              </w:rPr>
              <w:t>AI Reconciliation (Agent 1)</w:t>
            </w:r>
          </w:p>
        </w:tc>
        <w:tc>
          <w:tcPr>
            <w:tcW w:type="dxa" w:w="3168"/>
            <w:shd w:fill="FFFFFF"/>
          </w:tcPr>
          <w:p>
            <w:r>
              <w:rPr>
                <w:sz w:val="17"/>
              </w:rPr>
              <w:t>Fuzzy reference matching, confidence scoring, 1-click human settlement approval</w:t>
            </w:r>
          </w:p>
        </w:tc>
        <w:tc>
          <w:tcPr>
            <w:tcW w:type="dxa" w:w="2592"/>
            <w:shd w:fill="FFFFFF"/>
          </w:tcPr>
          <w:p>
            <w:r>
              <w:rPr>
                <w:sz w:val="17"/>
              </w:rPr>
              <w:t>reconciliationAgent.js, settlement.service.js</w:t>
            </w:r>
          </w:p>
        </w:tc>
        <w:tc>
          <w:tcPr>
            <w:tcW w:type="dxa" w:w="2160"/>
            <w:shd w:fill="FFFFFF"/>
          </w:tcPr>
          <w:p>
            <w:r>
              <w:rPr>
                <w:sz w:val="17"/>
              </w:rPr>
              <w:t>ActionCenterDrawer.jsx, StatusBadge.jsx</w:t>
            </w:r>
          </w:p>
        </w:tc>
      </w:tr>
      <w:tr>
        <w:tc>
          <w:tcPr>
            <w:tcW w:type="dxa" w:w="1872"/>
            <w:shd w:fill="F8FAFC"/>
          </w:tcPr>
          <w:p>
            <w:r>
              <w:rPr>
                <w:b/>
                <w:sz w:val="17"/>
              </w:rPr>
              <w:t>Credit Risk Assessment (Agent 2)</w:t>
            </w:r>
          </w:p>
        </w:tc>
        <w:tc>
          <w:tcPr>
            <w:tcW w:type="dxa" w:w="3168"/>
            <w:shd w:fill="F8FAFC"/>
          </w:tcPr>
          <w:p>
            <w:r>
              <w:rPr>
                <w:sz w:val="17"/>
              </w:rPr>
              <w:t>Default Probability (PD %) computation, 4-tier risk grading (Low to Critical)</w:t>
            </w:r>
          </w:p>
        </w:tc>
        <w:tc>
          <w:tcPr>
            <w:tcW w:type="dxa" w:w="2592"/>
            <w:shd w:fill="F8FAFC"/>
          </w:tcPr>
          <w:p>
            <w:r>
              <w:rPr>
                <w:sz w:val="17"/>
              </w:rPr>
              <w:t>riskAgent.js, riskTools.js</w:t>
            </w:r>
          </w:p>
        </w:tc>
        <w:tc>
          <w:tcPr>
            <w:tcW w:type="dxa" w:w="2160"/>
            <w:shd w:fill="F8FAFC"/>
          </w:tcPr>
          <w:p>
            <w:r>
              <w:rPr>
                <w:sz w:val="17"/>
              </w:rPr>
              <w:t>CompanyList.jsx, RiskAssessmentDrawer.jsx</w:t>
            </w:r>
          </w:p>
        </w:tc>
      </w:tr>
      <w:tr>
        <w:tc>
          <w:tcPr>
            <w:tcW w:type="dxa" w:w="1872"/>
            <w:shd w:fill="FFFFFF"/>
          </w:tcPr>
          <w:p>
            <w:r>
              <w:rPr>
                <w:b/>
                <w:sz w:val="17"/>
              </w:rPr>
              <w:t>Collection Strategy (Agent 3)</w:t>
            </w:r>
          </w:p>
        </w:tc>
        <w:tc>
          <w:tcPr>
            <w:tcW w:type="dxa" w:w="3168"/>
            <w:shd w:fill="FFFFFF"/>
          </w:tcPr>
          <w:p>
            <w:r>
              <w:rPr>
                <w:sz w:val="17"/>
              </w:rPr>
              <w:t>Sec 138 NI Act notice drafting, automated SMTP email recovery dispatch</w:t>
            </w:r>
          </w:p>
        </w:tc>
        <w:tc>
          <w:tcPr>
            <w:tcW w:type="dxa" w:w="2592"/>
            <w:shd w:fill="FFFFFF"/>
          </w:tcPr>
          <w:p>
            <w:r>
              <w:rPr>
                <w:sz w:val="17"/>
              </w:rPr>
              <w:t>collectionAgent.js, emailService.js</w:t>
            </w:r>
          </w:p>
        </w:tc>
        <w:tc>
          <w:tcPr>
            <w:tcW w:type="dxa" w:w="2160"/>
            <w:shd w:fill="FFFFFF"/>
          </w:tcPr>
          <w:p>
            <w:r>
              <w:rPr>
                <w:sz w:val="17"/>
              </w:rPr>
              <w:t>CompanyList.jsx, CollectionReminderModal.jsx</w:t>
            </w:r>
          </w:p>
        </w:tc>
      </w:tr>
      <w:tr>
        <w:tc>
          <w:tcPr>
            <w:tcW w:type="dxa" w:w="1872"/>
            <w:shd w:fill="F8FAFC"/>
          </w:tcPr>
          <w:p>
            <w:r>
              <w:rPr>
                <w:b/>
                <w:sz w:val="17"/>
              </w:rPr>
              <w:t>Document Intelligence (Agent 4)</w:t>
            </w:r>
          </w:p>
        </w:tc>
        <w:tc>
          <w:tcPr>
            <w:tcW w:type="dxa" w:w="3168"/>
            <w:shd w:fill="F8FAFC"/>
          </w:tcPr>
          <w:p>
            <w:r>
              <w:rPr>
                <w:sz w:val="17"/>
              </w:rPr>
              <w:t>PDF loan contract OCR term extraction, facility amount &amp; penalty rate parsing</w:t>
            </w:r>
          </w:p>
        </w:tc>
        <w:tc>
          <w:tcPr>
            <w:tcW w:type="dxa" w:w="2592"/>
            <w:shd w:fill="F8FAFC"/>
          </w:tcPr>
          <w:p>
            <w:r>
              <w:rPr>
                <w:sz w:val="17"/>
              </w:rPr>
              <w:t>documentAgent.js, document.prompt.js</w:t>
            </w:r>
          </w:p>
        </w:tc>
        <w:tc>
          <w:tcPr>
            <w:tcW w:type="dxa" w:w="2160"/>
            <w:shd w:fill="F8FAFC"/>
          </w:tcPr>
          <w:p>
            <w:r>
              <w:rPr>
                <w:sz w:val="17"/>
              </w:rPr>
              <w:t>DocumentList.jsx</w:t>
            </w:r>
          </w:p>
        </w:tc>
      </w:tr>
      <w:tr>
        <w:tc>
          <w:tcPr>
            <w:tcW w:type="dxa" w:w="1872"/>
            <w:shd w:fill="FFFFFF"/>
          </w:tcPr>
          <w:p>
            <w:r>
              <w:rPr>
                <w:b/>
                <w:sz w:val="17"/>
              </w:rPr>
              <w:t>Portfolio Intelligence (Agent 5)</w:t>
            </w:r>
          </w:p>
        </w:tc>
        <w:tc>
          <w:tcPr>
            <w:tcW w:type="dxa" w:w="3168"/>
            <w:shd w:fill="FFFFFF"/>
          </w:tcPr>
          <w:p>
            <w:r>
              <w:rPr>
                <w:sz w:val="17"/>
              </w:rPr>
              <w:t>Macroeconomic exposure analysis, risk distribution, executive summary narrative</w:t>
            </w:r>
          </w:p>
        </w:tc>
        <w:tc>
          <w:tcPr>
            <w:tcW w:type="dxa" w:w="2592"/>
            <w:shd w:fill="FFFFFF"/>
          </w:tcPr>
          <w:p>
            <w:r>
              <w:rPr>
                <w:sz w:val="17"/>
              </w:rPr>
              <w:t>portfolioAgent.js, portfolio.service.js</w:t>
            </w:r>
          </w:p>
        </w:tc>
        <w:tc>
          <w:tcPr>
            <w:tcW w:type="dxa" w:w="2160"/>
            <w:shd w:fill="FFFFFF"/>
          </w:tcPr>
          <w:p>
            <w:r>
              <w:rPr>
                <w:sz w:val="17"/>
              </w:rPr>
              <w:t>ReportsAnalytics.jsx</w:t>
            </w:r>
          </w:p>
        </w:tc>
      </w:tr>
      <w:tr>
        <w:tc>
          <w:tcPr>
            <w:tcW w:type="dxa" w:w="1872"/>
            <w:shd w:fill="F8FAFC"/>
          </w:tcPr>
          <w:p>
            <w:r>
              <w:rPr>
                <w:b/>
                <w:sz w:val="17"/>
              </w:rPr>
              <w:t>Escalation Center (Agent 6)</w:t>
            </w:r>
          </w:p>
        </w:tc>
        <w:tc>
          <w:tcPr>
            <w:tcW w:type="dxa" w:w="3168"/>
            <w:shd w:fill="F8FAFC"/>
          </w:tcPr>
          <w:p>
            <w:r>
              <w:rPr>
                <w:sz w:val="17"/>
              </w:rPr>
              <w:t>SLA breach scanning (&gt;30/60/90 days), multi-tier manager notification routing</w:t>
            </w:r>
          </w:p>
        </w:tc>
        <w:tc>
          <w:tcPr>
            <w:tcW w:type="dxa" w:w="2592"/>
            <w:shd w:fill="F8FAFC"/>
          </w:tcPr>
          <w:p>
            <w:r>
              <w:rPr>
                <w:sz w:val="17"/>
              </w:rPr>
              <w:t>notificationAgent.js, notification.controller.js</w:t>
            </w:r>
          </w:p>
        </w:tc>
        <w:tc>
          <w:tcPr>
            <w:tcW w:type="dxa" w:w="2160"/>
            <w:shd w:fill="F8FAFC"/>
          </w:tcPr>
          <w:p>
            <w:r>
              <w:rPr>
                <w:sz w:val="17"/>
              </w:rPr>
              <w:t>Notifications.jsx</w:t>
            </w:r>
          </w:p>
        </w:tc>
      </w:tr>
      <w:tr>
        <w:tc>
          <w:tcPr>
            <w:tcW w:type="dxa" w:w="1872"/>
            <w:shd w:fill="FFFFFF"/>
          </w:tcPr>
          <w:p>
            <w:r>
              <w:rPr>
                <w:b/>
                <w:sz w:val="17"/>
              </w:rPr>
              <w:t>AI Financial Copilot</w:t>
            </w:r>
          </w:p>
        </w:tc>
        <w:tc>
          <w:tcPr>
            <w:tcW w:type="dxa" w:w="3168"/>
            <w:shd w:fill="FFFFFF"/>
          </w:tcPr>
          <w:p>
            <w:r>
              <w:rPr>
                <w:sz w:val="17"/>
              </w:rPr>
              <w:t>Interactive chat drawer, 23 database tools, human-in-the-loop action proposals</w:t>
            </w:r>
          </w:p>
        </w:tc>
        <w:tc>
          <w:tcPr>
            <w:tcW w:type="dxa" w:w="2592"/>
            <w:shd w:fill="FFFFFF"/>
          </w:tcPr>
          <w:p>
            <w:r>
              <w:rPr>
                <w:sz w:val="17"/>
              </w:rPr>
              <w:t>assistantAgent.js, assistantTools.js, assistantAction.service.js</w:t>
            </w:r>
          </w:p>
        </w:tc>
        <w:tc>
          <w:tcPr>
            <w:tcW w:type="dxa" w:w="2160"/>
            <w:shd w:fill="FFFFFF"/>
          </w:tcPr>
          <w:p>
            <w:r>
              <w:rPr>
                <w:sz w:val="17"/>
              </w:rPr>
              <w:t>AICopilotPanel.jsx, ActionProposalCard.jsx</w:t>
            </w:r>
          </w:p>
        </w:tc>
      </w:tr>
      <w:tr>
        <w:tc>
          <w:tcPr>
            <w:tcW w:type="dxa" w:w="1872"/>
            <w:shd w:fill="F8FAFC"/>
          </w:tcPr>
          <w:p>
            <w:r>
              <w:rPr>
                <w:b/>
                <w:sz w:val="17"/>
              </w:rPr>
              <w:t>System Telemetry &amp; Settings</w:t>
            </w:r>
          </w:p>
        </w:tc>
        <w:tc>
          <w:tcPr>
            <w:tcW w:type="dxa" w:w="3168"/>
            <w:shd w:fill="F8FAFC"/>
          </w:tcPr>
          <w:p>
            <w:r>
              <w:rPr>
                <w:sz w:val="17"/>
              </w:rPr>
              <w:t>Groq AI token usage analytics, live LLM model switcher (Llama 70B vs Qwen 32B)</w:t>
            </w:r>
          </w:p>
        </w:tc>
        <w:tc>
          <w:tcPr>
            <w:tcW w:type="dxa" w:w="2592"/>
            <w:shd w:fill="F8FAFC"/>
          </w:tcPr>
          <w:p>
            <w:r>
              <w:rPr>
                <w:sz w:val="17"/>
              </w:rPr>
              <w:t>settings.service.js, settings.controller.js</w:t>
            </w:r>
          </w:p>
        </w:tc>
        <w:tc>
          <w:tcPr>
            <w:tcW w:type="dxa" w:w="2160"/>
            <w:shd w:fill="F8FAFC"/>
          </w:tcPr>
          <w:p>
            <w:r>
              <w:rPr>
                <w:sz w:val="17"/>
              </w:rPr>
              <w:t>Settings.jsx</w:t>
            </w:r>
          </w:p>
        </w:tc>
      </w:tr>
      <w:tr>
        <w:tc>
          <w:tcPr>
            <w:tcW w:type="dxa" w:w="1872"/>
            <w:shd w:fill="FFFFFF"/>
          </w:tcPr>
          <w:p>
            <w:r>
              <w:rPr>
                <w:b/>
                <w:sz w:val="17"/>
              </w:rPr>
              <w:t>Compliance Audit Trail</w:t>
            </w:r>
          </w:p>
        </w:tc>
        <w:tc>
          <w:tcPr>
            <w:tcW w:type="dxa" w:w="3168"/>
            <w:shd w:fill="FFFFFF"/>
          </w:tcPr>
          <w:p>
            <w:r>
              <w:rPr>
                <w:sz w:val="17"/>
              </w:rPr>
              <w:t>Immutable logging of WHO, WHAT, WHEN, IP address, before/after JSON diffs</w:t>
            </w:r>
          </w:p>
        </w:tc>
        <w:tc>
          <w:tcPr>
            <w:tcW w:type="dxa" w:w="2592"/>
            <w:shd w:fill="FFFFFF"/>
          </w:tcPr>
          <w:p>
            <w:r>
              <w:rPr>
                <w:sz w:val="17"/>
              </w:rPr>
              <w:t>auditLog.model.js, audit.controller.js</w:t>
            </w:r>
          </w:p>
        </w:tc>
        <w:tc>
          <w:tcPr>
            <w:tcW w:type="dxa" w:w="2160"/>
            <w:shd w:fill="FFFFFF"/>
          </w:tcPr>
          <w:p>
            <w:r>
              <w:rPr>
                <w:sz w:val="17"/>
              </w:rPr>
              <w:t>AuditLogs.jsx</w:t>
            </w:r>
          </w:p>
        </w:tc>
      </w:tr>
    </w:tbl>
    <w:p>
      <w:pPr>
        <w:spacing w:after="200"/>
      </w:pPr>
    </w:p>
    <w:p>
      <w:pPr>
        <w:keepNext/>
        <w:spacing w:before="360" w:after="120"/>
      </w:pPr>
      <w:r>
        <w:rPr>
          <w:rFonts w:ascii="Segoe UI" w:hAnsi="Segoe UI"/>
          <w:b/>
          <w:color w:val="1E3A8A"/>
          <w:sz w:val="36"/>
        </w:rPr>
        <w:t>4. Role-Based Access Control (RBAC) Matrix</w:t>
      </w:r>
    </w:p>
    <w:p>
      <w:r>
        <w:t>FinanceFlow AI implements a strict 7-tier hierarchical Role-Based Access Control (RBAC) model. Permissions are enforced at both the backend route middleware level (authorize([...allowedRoles])) and frontend UI layer (locking restricted buttons and dispatching global permission toast banners).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Pr>
          <w:p>
            <w:r>
              <w:rPr>
                <w:b/>
                <w:color w:val="FFFFFF"/>
                <w:sz w:val="19"/>
              </w:rPr>
              <w:t>Role Name</w:t>
            </w:r>
          </w:p>
        </w:tc>
        <w:tc>
          <w:tcPr>
            <w:tcW w:type="dxa" w:w="2484"/>
            <w:shd w:fill="1E3A8A"/>
          </w:tcPr>
          <w:p>
            <w:r>
              <w:rPr>
                <w:b/>
                <w:color w:val="FFFFFF"/>
                <w:sz w:val="19"/>
              </w:rPr>
              <w:t>Hierarchy Tier</w:t>
            </w:r>
          </w:p>
        </w:tc>
        <w:tc>
          <w:tcPr>
            <w:tcW w:type="dxa" w:w="2484"/>
            <w:shd w:fill="1E3A8A"/>
          </w:tcPr>
          <w:p>
            <w:r>
              <w:rPr>
                <w:b/>
                <w:color w:val="FFFFFF"/>
                <w:sz w:val="19"/>
              </w:rPr>
              <w:t>Allowed Operations</w:t>
            </w:r>
          </w:p>
        </w:tc>
        <w:tc>
          <w:tcPr>
            <w:tcW w:type="dxa" w:w="2484"/>
            <w:shd w:fill="1E3A8A"/>
          </w:tcPr>
          <w:p>
            <w:r>
              <w:rPr>
                <w:b/>
                <w:color w:val="FFFFFF"/>
                <w:sz w:val="19"/>
              </w:rPr>
              <w:t>Restricted Operations</w:t>
            </w:r>
          </w:p>
        </w:tc>
      </w:tr>
      <w:tr>
        <w:tc>
          <w:tcPr>
            <w:tcW w:type="dxa" w:w="1872"/>
            <w:shd w:fill="FFFFFF"/>
          </w:tcPr>
          <w:p>
            <w:r>
              <w:rPr>
                <w:b/>
                <w:sz w:val="17"/>
              </w:rPr>
              <w:t>owner</w:t>
            </w:r>
          </w:p>
        </w:tc>
        <w:tc>
          <w:tcPr>
            <w:tcW w:type="dxa" w:w="2160"/>
            <w:shd w:fill="FFFFFF"/>
          </w:tcPr>
          <w:p>
            <w:r>
              <w:rPr>
                <w:sz w:val="17"/>
              </w:rPr>
              <w:t>Tier 1 (System Owner)</w:t>
            </w:r>
          </w:p>
        </w:tc>
        <w:tc>
          <w:tcPr>
            <w:tcW w:type="dxa" w:w="3168"/>
            <w:shd w:fill="FFFFFF"/>
          </w:tcPr>
          <w:p>
            <w:r>
              <w:rPr>
                <w:sz w:val="17"/>
              </w:rPr>
              <w:t>Full Administrative Access, LLM Model Switcher, Token Telemetry, Global Settings</w:t>
            </w:r>
          </w:p>
        </w:tc>
        <w:tc>
          <w:tcPr>
            <w:tcW w:type="dxa" w:w="2592"/>
            <w:shd w:fill="FFFFFF"/>
          </w:tcPr>
          <w:p>
            <w:r>
              <w:rPr>
                <w:sz w:val="17"/>
              </w:rPr>
              <w:t>None</w:t>
            </w:r>
          </w:p>
        </w:tc>
      </w:tr>
      <w:tr>
        <w:tc>
          <w:tcPr>
            <w:tcW w:type="dxa" w:w="1872"/>
            <w:shd w:fill="F8FAFC"/>
          </w:tcPr>
          <w:p>
            <w:r>
              <w:rPr>
                <w:b/>
                <w:sz w:val="17"/>
              </w:rPr>
              <w:t>super_admin</w:t>
            </w:r>
          </w:p>
        </w:tc>
        <w:tc>
          <w:tcPr>
            <w:tcW w:type="dxa" w:w="2160"/>
            <w:shd w:fill="F8FAFC"/>
          </w:tcPr>
          <w:p>
            <w:r>
              <w:rPr>
                <w:sz w:val="17"/>
              </w:rPr>
              <w:t>Tier 2 (Super Admin)</w:t>
            </w:r>
          </w:p>
        </w:tc>
        <w:tc>
          <w:tcPr>
            <w:tcW w:type="dxa" w:w="3168"/>
            <w:shd w:fill="F8FAFC"/>
          </w:tcPr>
          <w:p>
            <w:r>
              <w:rPr>
                <w:sz w:val="17"/>
              </w:rPr>
              <w:t>Full System Admin Access, User Invitations, Token Telemetry</w:t>
            </w:r>
          </w:p>
        </w:tc>
        <w:tc>
          <w:tcPr>
            <w:tcW w:type="dxa" w:w="2592"/>
            <w:shd w:fill="F8FAFC"/>
          </w:tcPr>
          <w:p>
            <w:r>
              <w:rPr>
                <w:sz w:val="17"/>
              </w:rPr>
              <w:t>Owner-only Root Settings</w:t>
            </w:r>
          </w:p>
        </w:tc>
      </w:tr>
      <w:tr>
        <w:tc>
          <w:tcPr>
            <w:tcW w:type="dxa" w:w="1872"/>
            <w:shd w:fill="FFFFFF"/>
          </w:tcPr>
          <w:p>
            <w:r>
              <w:rPr>
                <w:b/>
                <w:sz w:val="17"/>
              </w:rPr>
              <w:t>admin</w:t>
            </w:r>
          </w:p>
        </w:tc>
        <w:tc>
          <w:tcPr>
            <w:tcW w:type="dxa" w:w="2160"/>
            <w:shd w:fill="FFFFFF"/>
          </w:tcPr>
          <w:p>
            <w:r>
              <w:rPr>
                <w:sz w:val="17"/>
              </w:rPr>
              <w:t>Tier 3 (Admin)</w:t>
            </w:r>
          </w:p>
        </w:tc>
        <w:tc>
          <w:tcPr>
            <w:tcW w:type="dxa" w:w="3168"/>
            <w:shd w:fill="FFFFFF"/>
          </w:tcPr>
          <w:p>
            <w:r>
              <w:rPr>
                <w:sz w:val="17"/>
              </w:rPr>
              <w:t>User Invitations, Company Creation, Loan Creation, Agent Triggers</w:t>
            </w:r>
          </w:p>
        </w:tc>
        <w:tc>
          <w:tcPr>
            <w:tcW w:type="dxa" w:w="2592"/>
            <w:shd w:fill="FFFFFF"/>
          </w:tcPr>
          <w:p>
            <w:r>
              <w:rPr>
                <w:sz w:val="17"/>
              </w:rPr>
              <w:t>Token Telemetry &amp; Model Switch</w:t>
            </w:r>
          </w:p>
        </w:tc>
      </w:tr>
      <w:tr>
        <w:tc>
          <w:tcPr>
            <w:tcW w:type="dxa" w:w="1872"/>
            <w:shd w:fill="F8FAFC"/>
          </w:tcPr>
          <w:p>
            <w:r>
              <w:rPr>
                <w:b/>
                <w:sz w:val="17"/>
              </w:rPr>
              <w:t>manager</w:t>
            </w:r>
          </w:p>
        </w:tc>
        <w:tc>
          <w:tcPr>
            <w:tcW w:type="dxa" w:w="2160"/>
            <w:shd w:fill="F8FAFC"/>
          </w:tcPr>
          <w:p>
            <w:r>
              <w:rPr>
                <w:sz w:val="17"/>
              </w:rPr>
              <w:t>Tier 4 (Manager)</w:t>
            </w:r>
          </w:p>
        </w:tc>
        <w:tc>
          <w:tcPr>
            <w:tcW w:type="dxa" w:w="3168"/>
            <w:shd w:fill="F8FAFC"/>
          </w:tcPr>
          <w:p>
            <w:r>
              <w:rPr>
                <w:sz w:val="17"/>
              </w:rPr>
              <w:t>Company Creation, Loan Creation, Agent Triggers, Portfolio Analysis</w:t>
            </w:r>
          </w:p>
        </w:tc>
        <w:tc>
          <w:tcPr>
            <w:tcW w:type="dxa" w:w="2592"/>
            <w:shd w:fill="F8FAFC"/>
          </w:tcPr>
          <w:p>
            <w:r>
              <w:rPr>
                <w:sz w:val="17"/>
              </w:rPr>
              <w:t>User Management &amp; Telemetry</w:t>
            </w:r>
          </w:p>
        </w:tc>
      </w:tr>
      <w:tr>
        <w:tc>
          <w:tcPr>
            <w:tcW w:type="dxa" w:w="1872"/>
            <w:shd w:fill="FFFFFF"/>
          </w:tcPr>
          <w:p>
            <w:r>
              <w:rPr>
                <w:b/>
                <w:sz w:val="17"/>
              </w:rPr>
              <w:t>senior_accountant</w:t>
            </w:r>
          </w:p>
        </w:tc>
        <w:tc>
          <w:tcPr>
            <w:tcW w:type="dxa" w:w="2160"/>
            <w:shd w:fill="FFFFFF"/>
          </w:tcPr>
          <w:p>
            <w:r>
              <w:rPr>
                <w:sz w:val="17"/>
              </w:rPr>
              <w:t>Tier 5 (Senior Accountant)</w:t>
            </w:r>
          </w:p>
        </w:tc>
        <w:tc>
          <w:tcPr>
            <w:tcW w:type="dxa" w:w="3168"/>
            <w:shd w:fill="FFFFFF"/>
          </w:tcPr>
          <w:p>
            <w:r>
              <w:rPr>
                <w:sz w:val="17"/>
              </w:rPr>
              <w:t>1-Click Settlement Approval, Manual Override, Collection Dispatch</w:t>
            </w:r>
          </w:p>
        </w:tc>
        <w:tc>
          <w:tcPr>
            <w:tcW w:type="dxa" w:w="2592"/>
            <w:shd w:fill="FFFFFF"/>
          </w:tcPr>
          <w:p>
            <w:r>
              <w:rPr>
                <w:sz w:val="17"/>
              </w:rPr>
              <w:t>Company &amp; Loan Creation</w:t>
            </w:r>
          </w:p>
        </w:tc>
      </w:tr>
      <w:tr>
        <w:tc>
          <w:tcPr>
            <w:tcW w:type="dxa" w:w="1872"/>
            <w:shd w:fill="F8FAFC"/>
          </w:tcPr>
          <w:p>
            <w:r>
              <w:rPr>
                <w:b/>
                <w:sz w:val="17"/>
              </w:rPr>
              <w:t>accountant</w:t>
            </w:r>
          </w:p>
        </w:tc>
        <w:tc>
          <w:tcPr>
            <w:tcW w:type="dxa" w:w="2160"/>
            <w:shd w:fill="F8FAFC"/>
          </w:tcPr>
          <w:p>
            <w:r>
              <w:rPr>
                <w:sz w:val="17"/>
              </w:rPr>
              <w:t>Tier 6 (Accountant)</w:t>
            </w:r>
          </w:p>
        </w:tc>
        <w:tc>
          <w:tcPr>
            <w:tcW w:type="dxa" w:w="3168"/>
            <w:shd w:fill="F8FAFC"/>
          </w:tcPr>
          <w:p>
            <w:r>
              <w:rPr>
                <w:sz w:val="17"/>
              </w:rPr>
              <w:t>Payment Ingestion, Agent Triggers, View Dashboard &amp; Reports</w:t>
            </w:r>
          </w:p>
        </w:tc>
        <w:tc>
          <w:tcPr>
            <w:tcW w:type="dxa" w:w="2592"/>
            <w:shd w:fill="F8FAFC"/>
          </w:tcPr>
          <w:p>
            <w:r>
              <w:rPr>
                <w:sz w:val="17"/>
              </w:rPr>
              <w:t>Settlement Approval &amp; Loan Creation</w:t>
            </w:r>
          </w:p>
        </w:tc>
      </w:tr>
      <w:tr>
        <w:tc>
          <w:tcPr>
            <w:tcW w:type="dxa" w:w="1872"/>
            <w:shd w:fill="FFFFFF"/>
          </w:tcPr>
          <w:p>
            <w:r>
              <w:rPr>
                <w:b/>
                <w:sz w:val="17"/>
              </w:rPr>
              <w:t>viewer</w:t>
            </w:r>
          </w:p>
        </w:tc>
        <w:tc>
          <w:tcPr>
            <w:tcW w:type="dxa" w:w="2160"/>
            <w:shd w:fill="FFFFFF"/>
          </w:tcPr>
          <w:p>
            <w:r>
              <w:rPr>
                <w:sz w:val="17"/>
              </w:rPr>
              <w:t>Tier 7 (Viewer / Auditor)</w:t>
            </w:r>
          </w:p>
        </w:tc>
        <w:tc>
          <w:tcPr>
            <w:tcW w:type="dxa" w:w="3168"/>
            <w:shd w:fill="FFFFFF"/>
          </w:tcPr>
          <w:p>
            <w:r>
              <w:rPr>
                <w:sz w:val="17"/>
              </w:rPr>
              <w:t>Read-Only Dashboard View, Read Documents &amp; Reports</w:t>
            </w:r>
          </w:p>
        </w:tc>
        <w:tc>
          <w:tcPr>
            <w:tcW w:type="dxa" w:w="2592"/>
            <w:shd w:fill="FFFFFF"/>
          </w:tcPr>
          <w:p>
            <w:r>
              <w:rPr>
                <w:sz w:val="17"/>
              </w:rPr>
              <w:t>ALL Write Actions, Ingestion &amp; Agent Triggers</w:t>
            </w:r>
          </w:p>
        </w:tc>
      </w:tr>
    </w:tbl>
    <w:p>
      <w:pPr>
        <w:spacing w:after="200"/>
      </w:pPr>
    </w:p>
    <w:p>
      <w:pPr>
        <w:keepNext/>
        <w:spacing w:before="360" w:after="120"/>
      </w:pPr>
      <w:r>
        <w:rPr>
          <w:rFonts w:ascii="Segoe UI" w:hAnsi="Segoe UI"/>
          <w:b/>
          <w:color w:val="1E3A8A"/>
          <w:sz w:val="36"/>
        </w:rPr>
        <w:t>5. Master MySQL Database Schema (18 Tables)</w:t>
      </w:r>
    </w:p>
    <w:p>
      <w:r>
        <w:t>The database layer consists of 18 MySQL tables linked via foreign key integrity constraints:</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sz w:val="19"/>
              </w:rPr>
              <w:t>#</w:t>
            </w:r>
          </w:p>
        </w:tc>
        <w:tc>
          <w:tcPr>
            <w:tcW w:type="dxa" w:w="3312"/>
            <w:shd w:fill="1E3A8A"/>
          </w:tcPr>
          <w:p>
            <w:r>
              <w:rPr>
                <w:b/>
                <w:color w:val="FFFFFF"/>
                <w:sz w:val="19"/>
              </w:rPr>
              <w:t>Table Name</w:t>
            </w:r>
          </w:p>
        </w:tc>
        <w:tc>
          <w:tcPr>
            <w:tcW w:type="dxa" w:w="3312"/>
            <w:shd w:fill="1E3A8A"/>
          </w:tcPr>
          <w:p>
            <w:r>
              <w:rPr>
                <w:b/>
                <w:color w:val="FFFFFF"/>
                <w:sz w:val="19"/>
              </w:rPr>
              <w:t>Primary Purpose &amp; Data Stored</w:t>
            </w:r>
          </w:p>
        </w:tc>
      </w:tr>
      <w:tr>
        <w:tc>
          <w:tcPr>
            <w:tcW w:type="dxa" w:w="720"/>
            <w:shd w:fill="FFFFFF"/>
          </w:tcPr>
          <w:p>
            <w:r>
              <w:rPr>
                <w:sz w:val="17"/>
              </w:rPr>
              <w:t>1</w:t>
            </w:r>
          </w:p>
        </w:tc>
        <w:tc>
          <w:tcPr>
            <w:tcW w:type="dxa" w:w="3168"/>
            <w:shd w:fill="FFFFFF"/>
          </w:tcPr>
          <w:p>
            <w:r>
              <w:rPr>
                <w:b/>
                <w:sz w:val="17"/>
              </w:rPr>
              <w:t>roles</w:t>
            </w:r>
          </w:p>
        </w:tc>
        <w:tc>
          <w:tcPr>
            <w:tcW w:type="dxa" w:w="5904"/>
            <w:shd w:fill="FFFFFF"/>
          </w:tcPr>
          <w:p>
            <w:r>
              <w:rPr>
                <w:sz w:val="17"/>
              </w:rPr>
              <w:t>System access control roles (owner, super_admin, admin, manager, senior_accountant, accountant, viewer).</w:t>
            </w:r>
          </w:p>
        </w:tc>
      </w:tr>
      <w:tr>
        <w:tc>
          <w:tcPr>
            <w:tcW w:type="dxa" w:w="720"/>
            <w:shd w:fill="F8FAFC"/>
          </w:tcPr>
          <w:p>
            <w:r>
              <w:rPr>
                <w:sz w:val="17"/>
              </w:rPr>
              <w:t>2</w:t>
            </w:r>
          </w:p>
        </w:tc>
        <w:tc>
          <w:tcPr>
            <w:tcW w:type="dxa" w:w="3168"/>
            <w:shd w:fill="F8FAFC"/>
          </w:tcPr>
          <w:p>
            <w:r>
              <w:rPr>
                <w:b/>
                <w:sz w:val="17"/>
              </w:rPr>
              <w:t>users</w:t>
            </w:r>
          </w:p>
        </w:tc>
        <w:tc>
          <w:tcPr>
            <w:tcW w:type="dxa" w:w="5904"/>
            <w:shd w:fill="F8FAFC"/>
          </w:tcPr>
          <w:p>
            <w:r>
              <w:rPr>
                <w:sz w:val="17"/>
              </w:rPr>
              <w:t>User identity records, bcrypt password hashes, role IDs, active status, reset tokens, last login timestamps.</w:t>
            </w:r>
          </w:p>
        </w:tc>
      </w:tr>
      <w:tr>
        <w:tc>
          <w:tcPr>
            <w:tcW w:type="dxa" w:w="720"/>
            <w:shd w:fill="FFFFFF"/>
          </w:tcPr>
          <w:p>
            <w:r>
              <w:rPr>
                <w:sz w:val="17"/>
              </w:rPr>
              <w:t>3</w:t>
            </w:r>
          </w:p>
        </w:tc>
        <w:tc>
          <w:tcPr>
            <w:tcW w:type="dxa" w:w="3168"/>
            <w:shd w:fill="FFFFFF"/>
          </w:tcPr>
          <w:p>
            <w:r>
              <w:rPr>
                <w:b/>
                <w:sz w:val="17"/>
              </w:rPr>
              <w:t>companies</w:t>
            </w:r>
          </w:p>
        </w:tc>
        <w:tc>
          <w:tcPr>
            <w:tcW w:type="dxa" w:w="5904"/>
            <w:shd w:fill="FFFFFF"/>
          </w:tcPr>
          <w:p>
            <w:r>
              <w:rPr>
                <w:sz w:val="17"/>
              </w:rPr>
              <w:t>Corporate borrower master data (company name, CIN registration, GSTIN tax ID, bank account, contact).</w:t>
            </w:r>
          </w:p>
        </w:tc>
      </w:tr>
      <w:tr>
        <w:tc>
          <w:tcPr>
            <w:tcW w:type="dxa" w:w="720"/>
            <w:shd w:fill="F8FAFC"/>
          </w:tcPr>
          <w:p>
            <w:r>
              <w:rPr>
                <w:sz w:val="17"/>
              </w:rPr>
              <w:t>4</w:t>
            </w:r>
          </w:p>
        </w:tc>
        <w:tc>
          <w:tcPr>
            <w:tcW w:type="dxa" w:w="3168"/>
            <w:shd w:fill="F8FAFC"/>
          </w:tcPr>
          <w:p>
            <w:r>
              <w:rPr>
                <w:b/>
                <w:sz w:val="17"/>
              </w:rPr>
              <w:t>loans</w:t>
            </w:r>
          </w:p>
        </w:tc>
        <w:tc>
          <w:tcPr>
            <w:tcW w:type="dxa" w:w="5904"/>
            <w:shd w:fill="F8FAFC"/>
          </w:tcPr>
          <w:p>
            <w:r>
              <w:rPr>
                <w:sz w:val="17"/>
              </w:rPr>
              <w:t>Credit facility contracts (loan number, principal, interest rate, total payable amount, start/end dates).</w:t>
            </w:r>
          </w:p>
        </w:tc>
      </w:tr>
      <w:tr>
        <w:tc>
          <w:tcPr>
            <w:tcW w:type="dxa" w:w="720"/>
            <w:shd w:fill="FFFFFF"/>
          </w:tcPr>
          <w:p>
            <w:r>
              <w:rPr>
                <w:sz w:val="17"/>
              </w:rPr>
              <w:t>5</w:t>
            </w:r>
          </w:p>
        </w:tc>
        <w:tc>
          <w:tcPr>
            <w:tcW w:type="dxa" w:w="3168"/>
            <w:shd w:fill="FFFFFF"/>
          </w:tcPr>
          <w:p>
            <w:r>
              <w:rPr>
                <w:b/>
                <w:sz w:val="17"/>
              </w:rPr>
              <w:t>repayment_schedules</w:t>
            </w:r>
          </w:p>
        </w:tc>
        <w:tc>
          <w:tcPr>
            <w:tcW w:type="dxa" w:w="5904"/>
            <w:shd w:fill="FFFFFF"/>
          </w:tcPr>
          <w:p>
            <w:r>
              <w:rPr>
                <w:sz w:val="17"/>
              </w:rPr>
              <w:t>Monthly EMI installment breakdown (installment number, due date, scheduled amount, paid amount, status).</w:t>
            </w:r>
          </w:p>
        </w:tc>
      </w:tr>
      <w:tr>
        <w:tc>
          <w:tcPr>
            <w:tcW w:type="dxa" w:w="720"/>
            <w:shd w:fill="F8FAFC"/>
          </w:tcPr>
          <w:p>
            <w:r>
              <w:rPr>
                <w:sz w:val="17"/>
              </w:rPr>
              <w:t>6</w:t>
            </w:r>
          </w:p>
        </w:tc>
        <w:tc>
          <w:tcPr>
            <w:tcW w:type="dxa" w:w="3168"/>
            <w:shd w:fill="F8FAFC"/>
          </w:tcPr>
          <w:p>
            <w:r>
              <w:rPr>
                <w:b/>
                <w:sz w:val="17"/>
              </w:rPr>
              <w:t>payments</w:t>
            </w:r>
          </w:p>
        </w:tc>
        <w:tc>
          <w:tcPr>
            <w:tcW w:type="dxa" w:w="5904"/>
            <w:shd w:fill="F8FAFC"/>
          </w:tcPr>
          <w:p>
            <w:r>
              <w:rPr>
                <w:sz w:val="17"/>
              </w:rPr>
              <w:t>Raw incoming bank deposits (transaction UTR ID, deposit amount, date, sender bank account, reference, status).</w:t>
            </w:r>
          </w:p>
        </w:tc>
      </w:tr>
      <w:tr>
        <w:tc>
          <w:tcPr>
            <w:tcW w:type="dxa" w:w="720"/>
            <w:shd w:fill="FFFFFF"/>
          </w:tcPr>
          <w:p>
            <w:r>
              <w:rPr>
                <w:sz w:val="17"/>
              </w:rPr>
              <w:t>7</w:t>
            </w:r>
          </w:p>
        </w:tc>
        <w:tc>
          <w:tcPr>
            <w:tcW w:type="dxa" w:w="3168"/>
            <w:shd w:fill="FFFFFF"/>
          </w:tcPr>
          <w:p>
            <w:r>
              <w:rPr>
                <w:b/>
                <w:sz w:val="17"/>
              </w:rPr>
              <w:t>reconciliation_cases</w:t>
            </w:r>
          </w:p>
        </w:tc>
        <w:tc>
          <w:tcPr>
            <w:tcW w:type="dxa" w:w="5904"/>
            <w:shd w:fill="FFFFFF"/>
          </w:tcPr>
          <w:p>
            <w:r>
              <w:rPr>
                <w:sz w:val="17"/>
              </w:rPr>
              <w:t>AI payment investigation cases opened per un-matched deposit (assigned user, status, priority, resolution reason).</w:t>
            </w:r>
          </w:p>
        </w:tc>
      </w:tr>
      <w:tr>
        <w:tc>
          <w:tcPr>
            <w:tcW w:type="dxa" w:w="720"/>
            <w:shd w:fill="F8FAFC"/>
          </w:tcPr>
          <w:p>
            <w:r>
              <w:rPr>
                <w:sz w:val="17"/>
              </w:rPr>
              <w:t>8</w:t>
            </w:r>
          </w:p>
        </w:tc>
        <w:tc>
          <w:tcPr>
            <w:tcW w:type="dxa" w:w="3168"/>
            <w:shd w:fill="F8FAFC"/>
          </w:tcPr>
          <w:p>
            <w:r>
              <w:rPr>
                <w:b/>
                <w:sz w:val="17"/>
              </w:rPr>
              <w:t>ai_recommendations</w:t>
            </w:r>
          </w:p>
        </w:tc>
        <w:tc>
          <w:tcPr>
            <w:tcW w:type="dxa" w:w="5904"/>
            <w:shd w:fill="F8FAFC"/>
          </w:tcPr>
          <w:p>
            <w:r>
              <w:rPr>
                <w:sz w:val="17"/>
              </w:rPr>
              <w:t>Groq Agent 1 candidate match records (case ID, recommended company/loan/schedule ID, confidence %, reasoning).</w:t>
            </w:r>
          </w:p>
        </w:tc>
      </w:tr>
      <w:tr>
        <w:tc>
          <w:tcPr>
            <w:tcW w:type="dxa" w:w="720"/>
            <w:shd w:fill="FFFFFF"/>
          </w:tcPr>
          <w:p>
            <w:r>
              <w:rPr>
                <w:sz w:val="17"/>
              </w:rPr>
              <w:t>9</w:t>
            </w:r>
          </w:p>
        </w:tc>
        <w:tc>
          <w:tcPr>
            <w:tcW w:type="dxa" w:w="3168"/>
            <w:shd w:fill="FFFFFF"/>
          </w:tcPr>
          <w:p>
            <w:r>
              <w:rPr>
                <w:b/>
                <w:sz w:val="17"/>
              </w:rPr>
              <w:t>payment_allocations</w:t>
            </w:r>
          </w:p>
        </w:tc>
        <w:tc>
          <w:tcPr>
            <w:tcW w:type="dxa" w:w="5904"/>
            <w:shd w:fill="FFFFFF"/>
          </w:tcPr>
          <w:p>
            <w:r>
              <w:rPr>
                <w:sz w:val="17"/>
              </w:rPr>
              <w:t>Official financial ledger allocations written upon human approval (payment ID, schedule ID, allocated amount).</w:t>
            </w:r>
          </w:p>
        </w:tc>
      </w:tr>
      <w:tr>
        <w:tc>
          <w:tcPr>
            <w:tcW w:type="dxa" w:w="720"/>
            <w:shd w:fill="F8FAFC"/>
          </w:tcPr>
          <w:p>
            <w:r>
              <w:rPr>
                <w:sz w:val="17"/>
              </w:rPr>
              <w:t>10</w:t>
            </w:r>
          </w:p>
        </w:tc>
        <w:tc>
          <w:tcPr>
            <w:tcW w:type="dxa" w:w="3168"/>
            <w:shd w:fill="F8FAFC"/>
          </w:tcPr>
          <w:p>
            <w:r>
              <w:rPr>
                <w:b/>
                <w:sz w:val="17"/>
              </w:rPr>
              <w:t>documents</w:t>
            </w:r>
          </w:p>
        </w:tc>
        <w:tc>
          <w:tcPr>
            <w:tcW w:type="dxa" w:w="5904"/>
            <w:shd w:fill="F8FAFC"/>
          </w:tcPr>
          <w:p>
            <w:r>
              <w:rPr>
                <w:sz w:val="17"/>
              </w:rPr>
              <w:t>Financial file repository &amp; OCR metadata (file name, URL, storage engine, MIME type, file size, uploader ID).</w:t>
            </w:r>
          </w:p>
        </w:tc>
      </w:tr>
      <w:tr>
        <w:tc>
          <w:tcPr>
            <w:tcW w:type="dxa" w:w="720"/>
            <w:shd w:fill="FFFFFF"/>
          </w:tcPr>
          <w:p>
            <w:r>
              <w:rPr>
                <w:sz w:val="17"/>
              </w:rPr>
              <w:t>11</w:t>
            </w:r>
          </w:p>
        </w:tc>
        <w:tc>
          <w:tcPr>
            <w:tcW w:type="dxa" w:w="3168"/>
            <w:shd w:fill="FFFFFF"/>
          </w:tcPr>
          <w:p>
            <w:r>
              <w:rPr>
                <w:b/>
                <w:sz w:val="17"/>
              </w:rPr>
              <w:t>audit_logs</w:t>
            </w:r>
          </w:p>
        </w:tc>
        <w:tc>
          <w:tcPr>
            <w:tcW w:type="dxa" w:w="5904"/>
            <w:shd w:fill="FFFFFF"/>
          </w:tcPr>
          <w:p>
            <w:r>
              <w:rPr>
                <w:sz w:val="17"/>
              </w:rPr>
              <w:t>Immutable compliance audit log tracking WHO, WHAT, WHEN, IP address, and before/after JSON diffs.</w:t>
            </w:r>
          </w:p>
        </w:tc>
      </w:tr>
      <w:tr>
        <w:tc>
          <w:tcPr>
            <w:tcW w:type="dxa" w:w="720"/>
            <w:shd w:fill="F8FAFC"/>
          </w:tcPr>
          <w:p>
            <w:r>
              <w:rPr>
                <w:sz w:val="17"/>
              </w:rPr>
              <w:t>12</w:t>
            </w:r>
          </w:p>
        </w:tc>
        <w:tc>
          <w:tcPr>
            <w:tcW w:type="dxa" w:w="3168"/>
            <w:shd w:fill="F8FAFC"/>
          </w:tcPr>
          <w:p>
            <w:r>
              <w:rPr>
                <w:b/>
                <w:sz w:val="17"/>
              </w:rPr>
              <w:t>notifications</w:t>
            </w:r>
          </w:p>
        </w:tc>
        <w:tc>
          <w:tcPr>
            <w:tcW w:type="dxa" w:w="5904"/>
            <w:shd w:fill="F8FAFC"/>
          </w:tcPr>
          <w:p>
            <w:r>
              <w:rPr>
                <w:sz w:val="17"/>
              </w:rPr>
              <w:t>In-app user notification alerts and task queue items.</w:t>
            </w:r>
          </w:p>
        </w:tc>
      </w:tr>
      <w:tr>
        <w:tc>
          <w:tcPr>
            <w:tcW w:type="dxa" w:w="720"/>
            <w:shd w:fill="FFFFFF"/>
          </w:tcPr>
          <w:p>
            <w:r>
              <w:rPr>
                <w:sz w:val="17"/>
              </w:rPr>
              <w:t>13</w:t>
            </w:r>
          </w:p>
        </w:tc>
        <w:tc>
          <w:tcPr>
            <w:tcW w:type="dxa" w:w="3168"/>
            <w:shd w:fill="FFFFFF"/>
          </w:tcPr>
          <w:p>
            <w:r>
              <w:rPr>
                <w:b/>
                <w:sz w:val="17"/>
              </w:rPr>
              <w:t>agent_runs</w:t>
            </w:r>
          </w:p>
        </w:tc>
        <w:tc>
          <w:tcPr>
            <w:tcW w:type="dxa" w:w="5904"/>
            <w:shd w:fill="FFFFFF"/>
          </w:tcPr>
          <w:p>
            <w:r>
              <w:rPr>
                <w:sz w:val="17"/>
              </w:rPr>
              <w:t>Performance telemetry for 6 AI agents (agent ID, trigger type, status, LLM model used, Groq token count, confidence %).</w:t>
            </w:r>
          </w:p>
        </w:tc>
      </w:tr>
      <w:tr>
        <w:tc>
          <w:tcPr>
            <w:tcW w:type="dxa" w:w="720"/>
            <w:shd w:fill="F8FAFC"/>
          </w:tcPr>
          <w:p>
            <w:r>
              <w:rPr>
                <w:sz w:val="17"/>
              </w:rPr>
              <w:t>14</w:t>
            </w:r>
          </w:p>
        </w:tc>
        <w:tc>
          <w:tcPr>
            <w:tcW w:type="dxa" w:w="3168"/>
            <w:shd w:fill="F8FAFC"/>
          </w:tcPr>
          <w:p>
            <w:r>
              <w:rPr>
                <w:b/>
                <w:sz w:val="17"/>
              </w:rPr>
              <w:t>agent_execution_logs</w:t>
            </w:r>
          </w:p>
        </w:tc>
        <w:tc>
          <w:tcPr>
            <w:tcW w:type="dxa" w:w="5904"/>
            <w:shd w:fill="F8FAFC"/>
          </w:tcPr>
          <w:p>
            <w:r>
              <w:rPr>
                <w:sz w:val="17"/>
              </w:rPr>
              <w:t>Step-by-step tool invocation traces per agent run (tool called, input JSON, output JSON, LLM reasoning).</w:t>
            </w:r>
          </w:p>
        </w:tc>
      </w:tr>
      <w:tr>
        <w:tc>
          <w:tcPr>
            <w:tcW w:type="dxa" w:w="720"/>
            <w:shd w:fill="FFFFFF"/>
          </w:tcPr>
          <w:p>
            <w:r>
              <w:rPr>
                <w:sz w:val="17"/>
              </w:rPr>
              <w:t>15</w:t>
            </w:r>
          </w:p>
        </w:tc>
        <w:tc>
          <w:tcPr>
            <w:tcW w:type="dxa" w:w="3168"/>
            <w:shd w:fill="FFFFFF"/>
          </w:tcPr>
          <w:p>
            <w:r>
              <w:rPr>
                <w:b/>
                <w:sz w:val="17"/>
              </w:rPr>
              <w:t>portfolio_snapshots</w:t>
            </w:r>
          </w:p>
        </w:tc>
        <w:tc>
          <w:tcPr>
            <w:tcW w:type="dxa" w:w="5904"/>
            <w:shd w:fill="FFFFFF"/>
          </w:tcPr>
          <w:p>
            <w:r>
              <w:rPr>
                <w:sz w:val="17"/>
              </w:rPr>
              <w:t>Agent 5 portfolio health reports (snapshot date, total principal, overdue totals, LLM narrative summary).</w:t>
            </w:r>
          </w:p>
        </w:tc>
      </w:tr>
      <w:tr>
        <w:tc>
          <w:tcPr>
            <w:tcW w:type="dxa" w:w="720"/>
            <w:shd w:fill="F8FAFC"/>
          </w:tcPr>
          <w:p>
            <w:r>
              <w:rPr>
                <w:sz w:val="17"/>
              </w:rPr>
              <w:t>16</w:t>
            </w:r>
          </w:p>
        </w:tc>
        <w:tc>
          <w:tcPr>
            <w:tcW w:type="dxa" w:w="3168"/>
            <w:shd w:fill="F8FAFC"/>
          </w:tcPr>
          <w:p>
            <w:r>
              <w:rPr>
                <w:b/>
                <w:sz w:val="17"/>
              </w:rPr>
              <w:t>notification_alerts</w:t>
            </w:r>
          </w:p>
        </w:tc>
        <w:tc>
          <w:tcPr>
            <w:tcW w:type="dxa" w:w="5904"/>
            <w:shd w:fill="F8FAFC"/>
          </w:tcPr>
          <w:p>
            <w:r>
              <w:rPr>
                <w:sz w:val="17"/>
              </w:rPr>
              <w:t>Agent 6 SLA breach escalation notices (borrower ID, severity, escalation tier, overdue days, status).</w:t>
            </w:r>
          </w:p>
        </w:tc>
      </w:tr>
      <w:tr>
        <w:tc>
          <w:tcPr>
            <w:tcW w:type="dxa" w:w="720"/>
            <w:shd w:fill="FFFFFF"/>
          </w:tcPr>
          <w:p>
            <w:r>
              <w:rPr>
                <w:sz w:val="17"/>
              </w:rPr>
              <w:t>17</w:t>
            </w:r>
          </w:p>
        </w:tc>
        <w:tc>
          <w:tcPr>
            <w:tcW w:type="dxa" w:w="3168"/>
            <w:shd w:fill="FFFFFF"/>
          </w:tcPr>
          <w:p>
            <w:r>
              <w:rPr>
                <w:b/>
                <w:sz w:val="17"/>
              </w:rPr>
              <w:t>user_settings</w:t>
            </w:r>
          </w:p>
        </w:tc>
        <w:tc>
          <w:tcPr>
            <w:tcW w:type="dxa" w:w="5904"/>
            <w:shd w:fill="FFFFFF"/>
          </w:tcPr>
          <w:p>
            <w:r>
              <w:rPr>
                <w:sz w:val="17"/>
              </w:rPr>
              <w:t>Key-value configuration store (confidence_threshold, active_llm_model, notification_email).</w:t>
            </w:r>
          </w:p>
        </w:tc>
      </w:tr>
      <w:tr>
        <w:tc>
          <w:tcPr>
            <w:tcW w:type="dxa" w:w="720"/>
            <w:shd w:fill="F8FAFC"/>
          </w:tcPr>
          <w:p>
            <w:r>
              <w:rPr>
                <w:sz w:val="17"/>
              </w:rPr>
              <w:t>18</w:t>
            </w:r>
          </w:p>
        </w:tc>
        <w:tc>
          <w:tcPr>
            <w:tcW w:type="dxa" w:w="3168"/>
            <w:shd w:fill="F8FAFC"/>
          </w:tcPr>
          <w:p>
            <w:r>
              <w:rPr>
                <w:b/>
                <w:sz w:val="17"/>
              </w:rPr>
              <w:t>assistant_action_proposals</w:t>
            </w:r>
          </w:p>
        </w:tc>
        <w:tc>
          <w:tcPr>
            <w:tcW w:type="dxa" w:w="5904"/>
            <w:shd w:fill="F8FAFC"/>
          </w:tcPr>
          <w:p>
            <w:r>
              <w:rPr>
                <w:sz w:val="17"/>
              </w:rPr>
              <w:t>Human-in-the-Loop action proposals generated by AI Copilot (action type, target ID, requested params, expiry).</w:t>
            </w:r>
          </w:p>
        </w:tc>
      </w:tr>
    </w:tbl>
    <w:p>
      <w:pPr>
        <w:spacing w:after="200"/>
      </w:pPr>
    </w:p>
    <w:p>
      <w:pPr>
        <w:keepNext/>
        <w:spacing w:before="360" w:after="120"/>
      </w:pPr>
      <w:r>
        <w:rPr>
          <w:rFonts w:ascii="Segoe UI" w:hAnsi="Segoe UI"/>
          <w:b/>
          <w:color w:val="1E3A8A"/>
          <w:sz w:val="36"/>
        </w:rPr>
        <w:t>6. Backend Code Directory Architecture</w:t>
      </w:r>
    </w:p>
    <w:p>
      <w:r>
        <w:t>The backend codebase in backend/src/ is structured into modular layers:</w:t>
        <w:br/>
        <w:t>• routes/ (15 Express Routers): Defines REST URI endpoints, HTTP methods, and middleware security chains.</w:t>
        <w:br/>
        <w:t>• controllers/ (17 Controllers): Handles HTTP request parsing, parameter validation, and standardized JSON responses.</w:t>
        <w:br/>
        <w:t>• services/ (11 Services): Implements core business logic, financial EMI calculations, and multi-table transactions.</w:t>
        <w:br/>
        <w:t>• models/ (11 Models): Data Access Objects (DAO) using mysql2/promise parameterized prepared SQL queries.</w:t>
        <w:br/>
        <w:t>• agents/ (6 AI Agents): Specialized Groq Llama-3.3 70B agentic execution loops.</w:t>
        <w:br/>
        <w:t>• tools/ (23 Copilot Tools): Function-calling database tools for natural language assistant queries.</w:t>
        <w:br/>
        <w:t>• prompts/ (7 Prompts): Dedicated LLM system prompts for every agent and assistant.</w:t>
        <w:br/>
        <w:t>• engine/ (preCheckEngine.js): Zero-token deterministic pre-validation engine.</w:t>
      </w:r>
    </w:p>
    <w:p>
      <w:pPr>
        <w:keepNext/>
        <w:spacing w:before="360" w:after="120"/>
      </w:pPr>
      <w:r>
        <w:rPr>
          <w:rFonts w:ascii="Segoe UI" w:hAnsi="Segoe UI"/>
          <w:b/>
          <w:color w:val="1E3A8A"/>
          <w:sz w:val="36"/>
        </w:rPr>
        <w:t>7. Step-by-Step Mentor Review Test Flow (Live Demo Guide)</w:t>
      </w:r>
    </w:p>
    <w:p>
      <w:r>
        <w:t>Use this exact step-by-step testing sequence during tomorrow's mentor evaluation:</w:t>
      </w:r>
    </w:p>
    <w:p>
      <w:pPr>
        <w:spacing w:before="120" w:after="40"/>
      </w:pPr>
      <w:r>
        <w:rPr>
          <w:b/>
          <w:color w:val="0D9488"/>
          <w:sz w:val="21"/>
        </w:rPr>
        <w:t>Step 1: Role Authentication &amp; Login</w:t>
      </w:r>
    </w:p>
    <w:p>
      <w:pPr>
        <w:spacing w:after="120"/>
      </w:pPr>
      <w:r>
        <w:rPr>
          <w:sz w:val="19"/>
        </w:rPr>
        <w:t>Log in as Senior Accountant (senior_accountant@financeflow.com). Verify JWT token cookie generation and user session restoration via GET /api/auth/me.</w:t>
      </w:r>
    </w:p>
    <w:p>
      <w:pPr>
        <w:spacing w:before="120" w:after="40"/>
      </w:pPr>
      <w:r>
        <w:rPr>
          <w:b/>
          <w:color w:val="0D9488"/>
          <w:sz w:val="21"/>
        </w:rPr>
        <w:t>Step 2: Payment Ingestion &amp; Duplicate Protection</w:t>
      </w:r>
    </w:p>
    <w:p>
      <w:pPr>
        <w:spacing w:after="120"/>
      </w:pPr>
      <w:r>
        <w:rPr>
          <w:sz w:val="19"/>
        </w:rPr>
        <w:t>Navigate to Payment Ingestion page. Click 'Simulate Deposit'. Verify duplicate transaction check prevents duplicate entry and emits PAYMENT_INGESTED via Socket.IO.</w:t>
      </w:r>
    </w:p>
    <w:p>
      <w:pPr>
        <w:spacing w:before="120" w:after="40"/>
      </w:pPr>
      <w:r>
        <w:rPr>
          <w:b/>
          <w:color w:val="0D9488"/>
          <w:sz w:val="21"/>
        </w:rPr>
        <w:t>Step 3: Pre-Check Engine vs Groq Agent 1 Dispatch</w:t>
      </w:r>
    </w:p>
    <w:p>
      <w:pPr>
        <w:spacing w:after="120"/>
      </w:pPr>
      <w:r>
        <w:rPr>
          <w:sz w:val="19"/>
        </w:rPr>
        <w:t>Click 'Run AI Reconciliation'. If payment matches bank account &amp; EMI amount exactly, Pre-Check Engine yields 100% confidence in &lt; 10ms with 0 LLM tokens. Ambiguous payments invoke Groq Agent 1 tool loop.</w:t>
      </w:r>
    </w:p>
    <w:p>
      <w:pPr>
        <w:spacing w:before="120" w:after="40"/>
      </w:pPr>
      <w:r>
        <w:rPr>
          <w:b/>
          <w:color w:val="0D9488"/>
          <w:sz w:val="21"/>
        </w:rPr>
        <w:t>Step 4: 1-Click Human Settlement Approval</w:t>
      </w:r>
    </w:p>
    <w:p>
      <w:pPr>
        <w:spacing w:after="120"/>
      </w:pPr>
      <w:r>
        <w:rPr>
          <w:sz w:val="19"/>
        </w:rPr>
        <w:t>Open Action Center drawer. Review AI match reasoning and click 'Approve &amp; Allocate'. Verify payment_allocations row is written, schedule paid_amount is updated to paid, and immutable audit log is created.</w:t>
      </w:r>
    </w:p>
    <w:p>
      <w:pPr>
        <w:spacing w:before="120" w:after="40"/>
      </w:pPr>
      <w:r>
        <w:rPr>
          <w:b/>
          <w:color w:val="0D9488"/>
          <w:sz w:val="21"/>
        </w:rPr>
        <w:t>Step 5: Borrower Credit Risk &amp; Collection Notice</w:t>
      </w:r>
    </w:p>
    <w:p>
      <w:pPr>
        <w:spacing w:after="120"/>
      </w:pPr>
      <w:r>
        <w:rPr>
          <w:sz w:val="19"/>
        </w:rPr>
        <w:t>Navigate to Borrower Companies page. Click 'Assess Credit Risk' (Agent 2) to view PD % and Risk Grade. Click 'Draft Collection Notice' (Agent 3) to generate legal recovery letter and send email via SMTP.</w:t>
      </w:r>
    </w:p>
    <w:p>
      <w:pPr>
        <w:spacing w:before="120" w:after="40"/>
      </w:pPr>
      <w:r>
        <w:rPr>
          <w:b/>
          <w:color w:val="0D9488"/>
          <w:sz w:val="21"/>
        </w:rPr>
        <w:t>Step 6: Document Terms OCR Extraction</w:t>
      </w:r>
    </w:p>
    <w:p>
      <w:pPr>
        <w:spacing w:after="120"/>
      </w:pPr>
      <w:r>
        <w:rPr>
          <w:sz w:val="19"/>
        </w:rPr>
        <w:t>Navigate to Documents page. Select a contract PDF and click 'Extract Financial Terms' (Agent 4). Verify parsed facility amount, penalty rates, and governing clauses.</w:t>
      </w:r>
    </w:p>
    <w:p>
      <w:pPr>
        <w:spacing w:before="120" w:after="40"/>
      </w:pPr>
      <w:r>
        <w:rPr>
          <w:b/>
          <w:color w:val="0D9488"/>
          <w:sz w:val="21"/>
        </w:rPr>
        <w:t>Step 7: Portfolio Analytics &amp; SLA Breach Escalation</w:t>
      </w:r>
    </w:p>
    <w:p>
      <w:pPr>
        <w:spacing w:after="120"/>
      </w:pPr>
      <w:r>
        <w:rPr>
          <w:sz w:val="19"/>
        </w:rPr>
        <w:t>Navigate to Reports &amp; Escalations pages. Click 'Generate Portfolio Snapshot' (Agent 5) and 'Run Escalation Scan' (Agent 6) to detect past-due borrowers exceeding SLA limits.</w:t>
      </w:r>
    </w:p>
    <w:p>
      <w:pPr>
        <w:spacing w:before="120" w:after="40"/>
      </w:pPr>
      <w:r>
        <w:rPr>
          <w:b/>
          <w:color w:val="0D9488"/>
          <w:sz w:val="21"/>
        </w:rPr>
        <w:t>Step 8: AI Financial Copilot Chat &amp; Action Proposals</w:t>
      </w:r>
    </w:p>
    <w:p>
      <w:pPr>
        <w:spacing w:after="120"/>
      </w:pPr>
      <w:r>
        <w:rPr>
          <w:sz w:val="19"/>
        </w:rPr>
        <w:t>Open Copilot drawer. Type 'Flag Case #16 as critical priority'. Verify Copilot calls proposeFlagCase, renders Action Proposal card, and executing action updates database with audit logging.</w:t>
      </w:r>
    </w:p>
    <w:p>
      <w:pPr>
        <w:spacing w:before="120" w:after="40"/>
      </w:pPr>
      <w:r>
        <w:rPr>
          <w:b/>
          <w:color w:val="0D9488"/>
          <w:sz w:val="21"/>
        </w:rPr>
        <w:t>Step 9: Telemetry, Token Usage &amp; Compliance Trail</w:t>
      </w:r>
    </w:p>
    <w:p>
      <w:pPr>
        <w:spacing w:after="120"/>
      </w:pPr>
      <w:r>
        <w:rPr>
          <w:sz w:val="19"/>
        </w:rPr>
        <w:t>Log in as Owner. Navigate to Settings to inspect Groq token consumption analytics and switch live LLM models. Navigate to Audit Logs to view full compliance trail.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