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orjo9fpd6je8" w:id="0"/>
      <w:bookmarkEnd w:id="0"/>
      <w:r w:rsidDel="00000000" w:rsidR="00000000" w:rsidRPr="00000000">
        <w:rPr>
          <w:b w:val="1"/>
          <w:bCs w:val="1"/>
          <w:rtl w:val="0"/>
        </w:rPr>
        <w:t xml:space="preserve">Heart Disease Treatment Prompt 5</w:t>
      </w:r>
    </w:p>
    <w:p w:rsidR="00000000" w:rsidDel="00000000" w:rsidP="00000000" w:rsidRDefault="00000000" w:rsidRPr="00000000" w14:paraId="00000002">
      <w:pPr>
        <w:pStyle w:val="Heading3"/>
        <w:rPr>
          <w:b w:val="1"/>
          <w:bCs w:val="1"/>
        </w:rPr>
      </w:pPr>
      <w:bookmarkStart w:colFirst="0" w:colLast="0" w:name="_x4210pggf6fx" w:id="1"/>
      <w:bookmarkEnd w:id="1"/>
      <w:r w:rsidDel="00000000" w:rsidR="00000000" w:rsidRPr="00000000">
        <w:rPr>
          <w:b w:val="1"/>
          <w:bCs w:val="1"/>
          <w:rtl w:val="0"/>
        </w:rPr>
        <w:t xml:space="preserve">Gemini 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Advanced Cardiac Pharmacotherapy and Long-Term Safety in the Indian Context: A Multi-Stakeholder Analysis</w:t>
      </w:r>
    </w:p>
    <w:p w:rsidR="00000000" w:rsidDel="00000000" w:rsidP="00000000" w:rsidRDefault="00000000" w:rsidRPr="00000000" w14:paraId="00000008">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 Introduction: The Evolving Landscape of Cardiovascular Care in India</w:t>
      </w:r>
    </w:p>
    <w:p w:rsidR="00000000" w:rsidDel="00000000" w:rsidP="00000000" w:rsidRDefault="00000000" w:rsidRPr="00000000" w14:paraId="00000009">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burden of cardiovascular disease (CVD) in India presents a unique and formidable challenge to the global public health community, characterized by a complex "double burden" of pathology. While the developed world primarily grapples with diseases of aging and lifestyle, India faces a synchronous epidemic where degenerative conditions like Ischemic Heart Disease (IHD) and Heart Failure (HF) coexist with persistent diseases of poverty, most notably Rheumatic Heart Disease (RHD). This duality is further complicated by the "Indian Phenotype" of coronary artery disease (CAD), which is often malignant, diffuse, and manifests approximately a decade earlier than in Western populations.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Indian clinician, pharmacist, and caregiver, this landscape requires a sophisticated understanding of pharmacotherapy that transcends standard Western guidelines. The biological variances in drug metabolism specific to the Indian population, particularly among women, necessitate a sex-specific approach to dosing and monitoring. Furthermore, the socio-cultural fabric of India—ranging from the stigma associated with chronic illness in young women to the widespread use of traditional medicines—exerts a profound influence on treatment adherence and outcomes.</w:t>
      </w:r>
    </w:p>
    <w:p w:rsidR="00000000" w:rsidDel="00000000" w:rsidP="00000000" w:rsidRDefault="00000000" w:rsidRPr="00000000" w14:paraId="0000000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multi-dimensional analysis of cardiac pharmacotherapy tailored to the Indian ecosystem. It integrates the latest guidelines from the Federation of Obstetric and Gynaecological Societies of India (FOGSI), the Cardiological Society of India (CSI), and the Indian Menopause Society (IMS), while addressing practical realities such as the storage of thermolabile drugs in tropical heat and the economic implications of the Jan Aushadhi generic drug scheme.</w:t>
      </w:r>
    </w:p>
    <w:p w:rsidR="00000000" w:rsidDel="00000000" w:rsidP="00000000" w:rsidRDefault="00000000" w:rsidRPr="00000000" w14:paraId="0000000C">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2. Sex-Specific Pharmacokinetics and Pharmacodynamics: The Biological Basis of Therapy</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cardiovascular pharmacotherapy has been predicated on data derived predominantly from male subjects, leading to a "male-default" standard of care.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However, emerging evidence confirms that sex is a fundamental biological variable affecting the absorption, distribution, metabolism, and excretion (ADME) of cardiovascular drugs. In the Indian context, where women frequently present with lower body weights and distinct hormonal profiles compared to Western cohorts, these pharmacokinetic (PK) differences are clinically critical.</w:t>
      </w:r>
    </w:p>
    <w:p w:rsidR="00000000" w:rsidDel="00000000" w:rsidP="00000000" w:rsidRDefault="00000000" w:rsidRPr="00000000" w14:paraId="0000000E">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Cytochrome P450 Enzymes and Transporter Activity</w:t>
      </w:r>
    </w:p>
    <w:p w:rsidR="00000000" w:rsidDel="00000000" w:rsidP="00000000" w:rsidRDefault="00000000" w:rsidRPr="00000000" w14:paraId="0000000F">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metabolic handling of cardiovascular drugs is heavily dependent on hepatic enzymes, specifically the Cytochrome P450 (CYP) system. Research indicates that women generally exhibit higher activity of CYP3A4, the most abundant enzyme involved in drug metabolism. Conversely, the activity of P-glycoprotein (P-gp), a drug efflux transporter, is often lower in females. This dichotomy creates a complex PK environment for common cardiac agents.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0">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2.1.1 Calcium Channel Blockers (CCBs)</w:t>
      </w:r>
    </w:p>
    <w:p w:rsidR="00000000" w:rsidDel="00000000" w:rsidP="00000000" w:rsidRDefault="00000000" w:rsidRPr="00000000" w14:paraId="00000011">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Calcium channel blockers, particularly dihydropyridines like amlodipine and non-dihydropyridines like verapamil, are substrates for CYP3A4. PK studies have demonstrated that the oral clearance of verapamil and amlodipine is significantly faster in women than in men.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2">
      <w:pPr>
        <w:widowControl w:val="0"/>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Clearance-Effect Paradox:</w:t>
      </w:r>
      <w:r w:rsidDel="00000000" w:rsidR="00000000" w:rsidRPr="00000000">
        <w:rPr>
          <w:rFonts w:ascii="Google Sans Text" w:cs="Google Sans Text" w:eastAsia="Google Sans Text" w:hAnsi="Google Sans Text"/>
          <w:color w:val="1f1f1f"/>
          <w:rtl w:val="0"/>
        </w:rPr>
        <w:t xml:space="preserve"> Despite faster clearance, women often experience a more pronounced antihypertensive effect from these agents. However, this increased efficacy comes at the cost of higher toxicity. Women are disproportionately susceptible to amlodipine-induced peripheral edema, a dose-limiting side effect that can severely impact quality of life and adherence.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3">
      <w:pPr>
        <w:widowControl w:val="0"/>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Clinical Implication:</w:t>
      </w:r>
      <w:r w:rsidDel="00000000" w:rsidR="00000000" w:rsidRPr="00000000">
        <w:rPr>
          <w:rFonts w:ascii="Google Sans Text" w:cs="Google Sans Text" w:eastAsia="Google Sans Text" w:hAnsi="Google Sans Text"/>
          <w:color w:val="1f1f1f"/>
          <w:rtl w:val="0"/>
        </w:rPr>
        <w:t xml:space="preserve"> In Indian clinical practice, initiating amlodipine at lower doses (e.g., 2.5 mg) in women, rather than the standard 5 mg, may mitigate edema risk while maintaining therapeutic efficacy.</w:t>
      </w:r>
    </w:p>
    <w:p w:rsidR="00000000" w:rsidDel="00000000" w:rsidP="00000000" w:rsidRDefault="00000000" w:rsidRPr="00000000" w14:paraId="00000014">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2.1.2 Beta-Blockers and Anti-Arrhythmics</w:t>
      </w:r>
    </w:p>
    <w:p w:rsidR="00000000" w:rsidDel="00000000" w:rsidP="00000000" w:rsidRDefault="00000000" w:rsidRPr="00000000" w14:paraId="00000015">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Sex differences also extend to beta-blockers. For lipophilic agents like metoprolol and propranolol, which are metabolized by CYP2D6, women often achieve higher plasma concentrations than men for the same weight-adjusted dose.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6">
      <w:pPr>
        <w:widowControl w:val="0"/>
        <w:numPr>
          <w:ilvl w:val="0"/>
          <w:numId w:val="1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Adverse Event Profile:</w:t>
      </w:r>
      <w:r w:rsidDel="00000000" w:rsidR="00000000" w:rsidRPr="00000000">
        <w:rPr>
          <w:rFonts w:ascii="Google Sans Text" w:cs="Google Sans Text" w:eastAsia="Google Sans Text" w:hAnsi="Google Sans Text"/>
          <w:color w:val="1f1f1f"/>
          <w:rtl w:val="0"/>
        </w:rPr>
        <w:t xml:space="preserve"> This higher exposure correlates with an increased risk of bradycardia and hypotension.</w:t>
      </w:r>
    </w:p>
    <w:p w:rsidR="00000000" w:rsidDel="00000000" w:rsidP="00000000" w:rsidRDefault="00000000" w:rsidRPr="00000000" w14:paraId="00000017">
      <w:pPr>
        <w:widowControl w:val="0"/>
        <w:numPr>
          <w:ilvl w:val="0"/>
          <w:numId w:val="1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Arrhythmogenesis:</w:t>
      </w:r>
      <w:r w:rsidDel="00000000" w:rsidR="00000000" w:rsidRPr="00000000">
        <w:rPr>
          <w:rFonts w:ascii="Google Sans Text" w:cs="Google Sans Text" w:eastAsia="Google Sans Text" w:hAnsi="Google Sans Text"/>
          <w:color w:val="1f1f1f"/>
          <w:rtl w:val="0"/>
        </w:rPr>
        <w:t xml:space="preserve"> The risk of drug-induced </w:t>
      </w:r>
      <w:r w:rsidDel="00000000" w:rsidR="00000000" w:rsidRPr="00000000">
        <w:rPr>
          <w:rFonts w:ascii="Google Sans Text" w:cs="Google Sans Text" w:eastAsia="Google Sans Text" w:hAnsi="Google Sans Text"/>
          <w:i w:val="1"/>
          <w:iCs w:val="1"/>
          <w:color w:val="1f1f1f"/>
          <w:rtl w:val="0"/>
        </w:rPr>
        <w:t xml:space="preserve">torsades de pointes</w:t>
      </w:r>
      <w:r w:rsidDel="00000000" w:rsidR="00000000" w:rsidRPr="00000000">
        <w:rPr>
          <w:rFonts w:ascii="Google Sans Text" w:cs="Google Sans Text" w:eastAsia="Google Sans Text" w:hAnsi="Google Sans Text"/>
          <w:color w:val="1f1f1f"/>
          <w:rtl w:val="0"/>
        </w:rPr>
        <w:t xml:space="preserve"> (TdP) is significantly higher in women taking anti-arrhythmic drugs (like sotalol or dofetilide) or diuretics that cause electrolyte disturbances.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is partly due to women having a longer baseline QTc interval, which is further prolonged by these agents.</w:t>
      </w:r>
    </w:p>
    <w:p w:rsidR="00000000" w:rsidDel="00000000" w:rsidP="00000000" w:rsidRDefault="00000000" w:rsidRPr="00000000" w14:paraId="00000018">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 Adverse Drug Reactions (ADRs) and Gender</w:t>
      </w:r>
    </w:p>
    <w:p w:rsidR="00000000" w:rsidDel="00000000" w:rsidP="00000000" w:rsidRDefault="00000000" w:rsidRPr="00000000" w14:paraId="0000001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Global pharmacovigilance data indicates that women report approximately 10.2% more adverse drug reactions than men.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In the cardiovascular domain, this disparity is even more pronounced.</w:t>
      </w:r>
    </w:p>
    <w:p w:rsidR="00000000" w:rsidDel="00000000" w:rsidP="00000000" w:rsidRDefault="00000000" w:rsidRPr="00000000" w14:paraId="0000001A">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Diuretic-Induced Hyponatremia:</w:t>
      </w:r>
      <w:r w:rsidDel="00000000" w:rsidR="00000000" w:rsidRPr="00000000">
        <w:rPr>
          <w:rFonts w:ascii="Google Sans Text" w:cs="Google Sans Text" w:eastAsia="Google Sans Text" w:hAnsi="Google Sans Text"/>
          <w:color w:val="1f1f1f"/>
          <w:rtl w:val="0"/>
        </w:rPr>
        <w:t xml:space="preserve"> Thiazide diuretics, widely prescribed for hypertension in India, are more likely to cause severe hyponatremia and hypokalemia in elderly women compared to men.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B">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Bleeding Complications:</w:t>
      </w:r>
      <w:r w:rsidDel="00000000" w:rsidR="00000000" w:rsidRPr="00000000">
        <w:rPr>
          <w:rFonts w:ascii="Google Sans Text" w:cs="Google Sans Text" w:eastAsia="Google Sans Text" w:hAnsi="Google Sans Text"/>
          <w:color w:val="1f1f1f"/>
          <w:rtl w:val="0"/>
        </w:rPr>
        <w:t xml:space="preserve"> Women receiving antithrombotic therapy (antiplatelets or anticoagulants) have a higher incidence of major bleeding events.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is critical in the context of treating Acute Coronary Syndromes (ACS), where aggressive antiplatelet loading doses are standard.</w:t>
      </w:r>
    </w:p>
    <w:p w:rsidR="00000000" w:rsidDel="00000000" w:rsidP="00000000" w:rsidRDefault="00000000" w:rsidRPr="00000000" w14:paraId="0000001C">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Cutaneous Reactions:</w:t>
      </w:r>
      <w:r w:rsidDel="00000000" w:rsidR="00000000" w:rsidRPr="00000000">
        <w:rPr>
          <w:rFonts w:ascii="Google Sans Text" w:cs="Google Sans Text" w:eastAsia="Google Sans Text" w:hAnsi="Google Sans Text"/>
          <w:color w:val="1f1f1f"/>
          <w:rtl w:val="0"/>
        </w:rPr>
        <w:t xml:space="preserve"> Dermatological ADRs to cardiovascular drugs are also more prevalent in the female population.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D">
      <w:pPr>
        <w:widowControl w:val="0"/>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Sex-Specific Pharmacokinetic Variances and Clinical Recommendations</w:t>
      </w:r>
    </w:p>
    <w:p w:rsidR="00000000" w:rsidDel="00000000" w:rsidP="00000000" w:rsidRDefault="00000000" w:rsidRPr="00000000" w14:paraId="0000001E">
      <w:pPr>
        <w:widowControl w:val="0"/>
        <w:spacing w:after="240" w:line="275.9999942779541" w:lineRule="auto"/>
        <w:ind w:left="300" w:right="300" w:firstLine="0"/>
        <w:rPr>
          <w:rFonts w:ascii="Google Sans Text" w:cs="Google Sans Text" w:eastAsia="Google Sans Text" w:hAnsi="Google Sans Text"/>
          <w:b w:val="1"/>
          <w:bCs w:val="1"/>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Drug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Representative Drug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PK/PD Difference in Women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Clinical Consequence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Recommendation for Indian Pharmacists/Clinicians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 Channel Blockers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Amlodipine, Verapamil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Faster oral clearance (↑CYP3A4); Lower P-gp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Greater antihypertensive effect; Higher risk of peripheral edema.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Initiate at lower doses (2.5 mg). Monitor for pedal edema which may deter adherence.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Beta-Blockers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Metoprolol, Propranolol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Higher plasma concentrations (CYP2D6 metabolism).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Increased risk of bradycardia and fatigue.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Titrate slowly. Monitor heart rate closely, especially in elderly women.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Diuretics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Hydrochlorothiazide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Higher risk of electrolyte imbalance (Hyponatremia/Hypokalemia).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Frequent electrolyte monitoring required, especially in summer months.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Anti-Arrhythmics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Sotalol, Amiodarone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Longer baseline QTc.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 risk of Drug-Induced </w:t>
            </w:r>
            <w:r w:rsidDel="00000000" w:rsidR="00000000" w:rsidRPr="00000000">
              <w:rPr>
                <w:rFonts w:ascii="Google Sans Text" w:cs="Google Sans Text" w:eastAsia="Google Sans Text" w:hAnsi="Google Sans Text"/>
                <w:i w:val="1"/>
                <w:iCs w:val="1"/>
                <w:color w:val="1f1f1f"/>
                <w:rtl w:val="0"/>
              </w:rPr>
              <w:t xml:space="preserve">Torsades de Pointes</w:t>
            </w: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Strict QTc monitoring. Correct hypokalemia/hypomagnesemia aggressively.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Anticoagulants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Warfarin, Heparin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Higher rates of hemorrhagic complications.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Vigilant monitoring of INR and bleeding signs (gums, bruising).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bl>
    <w:p w:rsidR="00000000" w:rsidDel="00000000" w:rsidP="00000000" w:rsidRDefault="00000000" w:rsidRPr="00000000" w14:paraId="0000003D">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3. Pediatric and Adolescent Cardiology: The Foundation of Lifelong Risk</w:t>
      </w:r>
    </w:p>
    <w:p w:rsidR="00000000" w:rsidDel="00000000" w:rsidP="00000000" w:rsidRDefault="00000000" w:rsidRPr="00000000" w14:paraId="0000003E">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antecedents of adult cardiovascular disease are often laid in childhood and adolescence. In India, this demographic faces a dual threat: the lingering specter of Rheumatic Heart Disease (RHD) and the emerging metabolic storm of Polycystic Ovary Syndrome (PCOS).</w:t>
      </w:r>
    </w:p>
    <w:p w:rsidR="00000000" w:rsidDel="00000000" w:rsidP="00000000" w:rsidRDefault="00000000" w:rsidRPr="00000000" w14:paraId="0000003F">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Rheumatic Heart Disease (RHD): The Persistent Scourge</w:t>
      </w:r>
    </w:p>
    <w:p w:rsidR="00000000" w:rsidDel="00000000" w:rsidP="00000000" w:rsidRDefault="00000000" w:rsidRPr="00000000" w14:paraId="00000040">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significant economic progress, RHD remains endemic in many parts of India. It is a disease of poverty and overcrowding, primarily affecting school-aged children.</w:t>
      </w:r>
    </w:p>
    <w:p w:rsidR="00000000" w:rsidDel="00000000" w:rsidP="00000000" w:rsidRDefault="00000000" w:rsidRPr="00000000" w14:paraId="00000041">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3.1.1 Epidemiology and Gender Skew</w:t>
      </w:r>
    </w:p>
    <w:p w:rsidR="00000000" w:rsidDel="00000000" w:rsidP="00000000" w:rsidRDefault="00000000" w:rsidRPr="00000000" w14:paraId="00000042">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Recent large-scale screening studies have shed light on the current burden of RHD.</w:t>
      </w:r>
    </w:p>
    <w:p w:rsidR="00000000" w:rsidDel="00000000" w:rsidP="00000000" w:rsidRDefault="00000000" w:rsidRPr="00000000" w14:paraId="00000043">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Prevalence:</w:t>
      </w:r>
      <w:r w:rsidDel="00000000" w:rsidR="00000000" w:rsidRPr="00000000">
        <w:rPr>
          <w:rFonts w:ascii="Google Sans Text" w:cs="Google Sans Text" w:eastAsia="Google Sans Text" w:hAnsi="Google Sans Text"/>
          <w:color w:val="1f1f1f"/>
          <w:rtl w:val="0"/>
        </w:rPr>
        <w:t xml:space="preserve"> In the Patna district of Eastern India, the prevalence of RHD in school children was estimated at 1.06 per 1,000.</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Similarly, echocardiographic studies in Meghalaya revealed a significant burden of subclinical RHD.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4">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Gender Gap:</w:t>
      </w:r>
      <w:r w:rsidDel="00000000" w:rsidR="00000000" w:rsidRPr="00000000">
        <w:rPr>
          <w:rFonts w:ascii="Google Sans Text" w:cs="Google Sans Text" w:eastAsia="Google Sans Text" w:hAnsi="Google Sans Text"/>
          <w:color w:val="1f1f1f"/>
          <w:rtl w:val="0"/>
        </w:rPr>
        <w:t xml:space="preserve"> RHD exhibits a distinct female predilection. The risk of developing RHD is approximately two-fold higher in girls compared to boys.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As the disease progresses into adulthood, the complications—mitral stenosis, heart failure, and atrial fibrillation—disproportionately affect women during their childbearing years, complicating pregnancies.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5">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3.1.2 Pharmacotherapy: The Challenge of Secondary Prophylaxis</w:t>
      </w:r>
    </w:p>
    <w:p w:rsidR="00000000" w:rsidDel="00000000" w:rsidP="00000000" w:rsidRDefault="00000000" w:rsidRPr="00000000" w14:paraId="00000046">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cornerstone of RHD management is secondary prophylaxis with Benzathine Penicillin G (BPG) injections every 3-4 weeks to prevent recurrent rheumatic fever attacks.</w:t>
      </w:r>
    </w:p>
    <w:p w:rsidR="00000000" w:rsidDel="00000000" w:rsidP="00000000" w:rsidRDefault="00000000" w:rsidRPr="00000000" w14:paraId="00000047">
      <w:pPr>
        <w:widowControl w:val="0"/>
        <w:numPr>
          <w:ilvl w:val="0"/>
          <w:numId w:val="1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Adherence Barriers:</w:t>
      </w:r>
      <w:r w:rsidDel="00000000" w:rsidR="00000000" w:rsidRPr="00000000">
        <w:rPr>
          <w:rFonts w:ascii="Google Sans Text" w:cs="Google Sans Text" w:eastAsia="Google Sans Text" w:hAnsi="Google Sans Text"/>
          <w:color w:val="1f1f1f"/>
          <w:rtl w:val="0"/>
        </w:rPr>
        <w:t xml:space="preserve"> Adherence to this painful, long-term regimen is often poor. Barriers include the pain of injection, fear of anaphylaxis (leading to refusal by some primary care providers to administer it), and erratic supply chains.</w:t>
      </w:r>
    </w:p>
    <w:p w:rsidR="00000000" w:rsidDel="00000000" w:rsidP="00000000" w:rsidRDefault="00000000" w:rsidRPr="00000000" w14:paraId="00000048">
      <w:pPr>
        <w:widowControl w:val="0"/>
        <w:numPr>
          <w:ilvl w:val="0"/>
          <w:numId w:val="1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Innovation in Delivery:</w:t>
      </w:r>
      <w:r w:rsidDel="00000000" w:rsidR="00000000" w:rsidRPr="00000000">
        <w:rPr>
          <w:rFonts w:ascii="Google Sans Text" w:cs="Google Sans Text" w:eastAsia="Google Sans Text" w:hAnsi="Google Sans Text"/>
          <w:color w:val="1f1f1f"/>
          <w:rtl w:val="0"/>
        </w:rPr>
        <w:t xml:space="preserve"> To improve adherence among adolescent girls, healthcare providers must focus on pain mitigation strategies (e.g., mixing lidocaine with BPG) and counseling that emphasizes the link between adherence and future reproductive health.</w:t>
      </w:r>
    </w:p>
    <w:p w:rsidR="00000000" w:rsidDel="00000000" w:rsidP="00000000" w:rsidRDefault="00000000" w:rsidRPr="00000000" w14:paraId="00000049">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 Polycystic Ovary Syndrome (PCOS): A Cardiovascular Prodrome</w:t>
      </w:r>
    </w:p>
    <w:p w:rsidR="00000000" w:rsidDel="00000000" w:rsidP="00000000" w:rsidRDefault="00000000" w:rsidRPr="00000000" w14:paraId="0000004A">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PCOS is the most common endocrine disorder in Indian women of reproductive age. While traditionally viewed through a fertility lens, it is increasingly recognized as a potent metabolic risk factor for early-onset CVD.</w:t>
      </w:r>
    </w:p>
    <w:p w:rsidR="00000000" w:rsidDel="00000000" w:rsidP="00000000" w:rsidRDefault="00000000" w:rsidRPr="00000000" w14:paraId="0000004B">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3.2.1 Mechanisms of Vascular Dysfunction</w:t>
      </w:r>
    </w:p>
    <w:p w:rsidR="00000000" w:rsidDel="00000000" w:rsidP="00000000" w:rsidRDefault="00000000" w:rsidRPr="00000000" w14:paraId="0000004C">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Adolescent girls with PCOS, even those who are lean/non-obese, exhibit early markers of vascular damage.</w:t>
      </w:r>
    </w:p>
    <w:p w:rsidR="00000000" w:rsidDel="00000000" w:rsidP="00000000" w:rsidRDefault="00000000" w:rsidRPr="00000000" w14:paraId="0000004D">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Endothelial Dysfunction:</w:t>
      </w:r>
      <w:r w:rsidDel="00000000" w:rsidR="00000000" w:rsidRPr="00000000">
        <w:rPr>
          <w:rFonts w:ascii="Google Sans Text" w:cs="Google Sans Text" w:eastAsia="Google Sans Text" w:hAnsi="Google Sans Text"/>
          <w:color w:val="1f1f1f"/>
          <w:rtl w:val="0"/>
        </w:rPr>
        <w:t xml:space="preserve"> Studies indicate that young women with PCOS have significantly lower Flow-Mediated Dilation (FMD) and higher Carotid Intima-Media Thickness (CIMT) compared to age-matched controls.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These are preclinical markers of atherosclerosis.</w:t>
      </w:r>
    </w:p>
    <w:p w:rsidR="00000000" w:rsidDel="00000000" w:rsidP="00000000" w:rsidRDefault="00000000" w:rsidRPr="00000000" w14:paraId="0000004E">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Insulin Resistance:</w:t>
      </w:r>
      <w:r w:rsidDel="00000000" w:rsidR="00000000" w:rsidRPr="00000000">
        <w:rPr>
          <w:rFonts w:ascii="Google Sans Text" w:cs="Google Sans Text" w:eastAsia="Google Sans Text" w:hAnsi="Google Sans Text"/>
          <w:color w:val="1f1f1f"/>
          <w:rtl w:val="0"/>
        </w:rPr>
        <w:t xml:space="preserve"> The pathophysiology is driven by insulin resistance, which promotes an atherogenic lipid profile and chronic low-grade inflammation.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F">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3.2.2 Therapeutic Strategies</w:t>
      </w:r>
    </w:p>
    <w:p w:rsidR="00000000" w:rsidDel="00000000" w:rsidP="00000000" w:rsidRDefault="00000000" w:rsidRPr="00000000" w14:paraId="00000050">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Pharmacotherapy in this group must be dual-purpose: regulating menstruation and reducing cardiovascular risk.</w:t>
      </w:r>
    </w:p>
    <w:p w:rsidR="00000000" w:rsidDel="00000000" w:rsidP="00000000" w:rsidRDefault="00000000" w:rsidRPr="00000000" w14:paraId="00000051">
      <w:pPr>
        <w:widowControl w:val="0"/>
        <w:numPr>
          <w:ilvl w:val="0"/>
          <w:numId w:val="1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Lifestyle as Medicine:</w:t>
      </w:r>
      <w:r w:rsidDel="00000000" w:rsidR="00000000" w:rsidRPr="00000000">
        <w:rPr>
          <w:rFonts w:ascii="Google Sans Text" w:cs="Google Sans Text" w:eastAsia="Google Sans Text" w:hAnsi="Google Sans Text"/>
          <w:color w:val="1f1f1f"/>
          <w:rtl w:val="0"/>
        </w:rPr>
        <w:t xml:space="preserve"> Weight loss of even 5% can significantly improve metabolic parameters.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2">
      <w:pPr>
        <w:widowControl w:val="0"/>
        <w:numPr>
          <w:ilvl w:val="0"/>
          <w:numId w:val="1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Insulin Sensitizers:</w:t>
      </w:r>
      <w:r w:rsidDel="00000000" w:rsidR="00000000" w:rsidRPr="00000000">
        <w:rPr>
          <w:rFonts w:ascii="Google Sans Text" w:cs="Google Sans Text" w:eastAsia="Google Sans Text" w:hAnsi="Google Sans Text"/>
          <w:color w:val="1f1f1f"/>
          <w:rtl w:val="0"/>
        </w:rPr>
        <w:t xml:space="preserve"> Metformin is a key pharmacological agent. Beyond glycemic control, it improves insulin sensitivity and may have beneficial effects on vascular function, making it a critical drug for long-term cardiovascular risk reduction in this population.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3">
      <w:pPr>
        <w:widowControl w:val="0"/>
        <w:numPr>
          <w:ilvl w:val="0"/>
          <w:numId w:val="1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Statins:</w:t>
      </w:r>
      <w:r w:rsidDel="00000000" w:rsidR="00000000" w:rsidRPr="00000000">
        <w:rPr>
          <w:rFonts w:ascii="Google Sans Text" w:cs="Google Sans Text" w:eastAsia="Google Sans Text" w:hAnsi="Google Sans Text"/>
          <w:color w:val="1f1f1f"/>
          <w:rtl w:val="0"/>
        </w:rPr>
        <w:t xml:space="preserve"> While not routine for adolescents, the early onset of dyslipidemia in PCOS warrants early lipid screening. Statins may be considered in young adults with PCOS and persistent dyslipidemia, though they must be used with caution in women of childbearing potential due to teratogenicity risks.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4">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4. Cardio-Obstetrics: Managing Hypertensive Disorders of Pregnancy (HDP)</w:t>
      </w:r>
    </w:p>
    <w:p w:rsidR="00000000" w:rsidDel="00000000" w:rsidP="00000000" w:rsidRDefault="00000000" w:rsidRPr="00000000" w14:paraId="0000005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Hypertensive Disorders of Pregnancy (HDP) are a leading cause of maternal and perinatal morbidity in India. The management of these conditions has evolved significantly, with new guidelines from FOGSI (2025/2026) and international bodies emphasizing tighter blood pressure control and rigorous postpartum surveillance.</w:t>
      </w:r>
    </w:p>
    <w:p w:rsidR="00000000" w:rsidDel="00000000" w:rsidP="00000000" w:rsidRDefault="00000000" w:rsidRPr="00000000" w14:paraId="00000056">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Classification and Diagnosis (FOGSI 2026 Guidelines)</w:t>
      </w:r>
    </w:p>
    <w:p w:rsidR="00000000" w:rsidDel="00000000" w:rsidP="00000000" w:rsidRDefault="00000000" w:rsidRPr="00000000" w14:paraId="00000057">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2026 FOGSI Good Clinical Practice Recommendations have refined the classification of HDP to ensure earlier detection and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8">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Gestational Hypertension:</w:t>
      </w:r>
      <w:r w:rsidDel="00000000" w:rsidR="00000000" w:rsidRPr="00000000">
        <w:rPr>
          <w:rFonts w:ascii="Google Sans Text" w:cs="Google Sans Text" w:eastAsia="Google Sans Text" w:hAnsi="Google Sans Text"/>
          <w:color w:val="1f1f1f"/>
          <w:rtl w:val="0"/>
        </w:rPr>
        <w:t xml:space="preserve"> BP ≥140/90 mmHg appearing after 20 weeks of gestation, without proteinuria, returning to normal within 6 weeks postpartum.</w:t>
      </w:r>
    </w:p>
    <w:p w:rsidR="00000000" w:rsidDel="00000000" w:rsidP="00000000" w:rsidRDefault="00000000" w:rsidRPr="00000000" w14:paraId="00000059">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Preeclampsia:</w:t>
      </w:r>
      <w:r w:rsidDel="00000000" w:rsidR="00000000" w:rsidRPr="00000000">
        <w:rPr>
          <w:rFonts w:ascii="Google Sans Text" w:cs="Google Sans Text" w:eastAsia="Google Sans Text" w:hAnsi="Google Sans Text"/>
          <w:color w:val="1f1f1f"/>
          <w:rtl w:val="0"/>
        </w:rPr>
        <w:t xml:space="preserve"> BP ≥140/90 mmHg after 20 weeks </w:t>
      </w:r>
      <w:r w:rsidDel="00000000" w:rsidR="00000000" w:rsidRPr="00000000">
        <w:rPr>
          <w:rFonts w:ascii="Google Sans Text" w:cs="Google Sans Text" w:eastAsia="Google Sans Text" w:hAnsi="Google Sans Text"/>
          <w:i w:val="1"/>
          <w:iCs w:val="1"/>
          <w:color w:val="1f1f1f"/>
          <w:rtl w:val="0"/>
        </w:rPr>
        <w:t xml:space="preserve">plus</w:t>
      </w:r>
      <w:r w:rsidDel="00000000" w:rsidR="00000000" w:rsidRPr="00000000">
        <w:rPr>
          <w:rFonts w:ascii="Google Sans Text" w:cs="Google Sans Text" w:eastAsia="Google Sans Text" w:hAnsi="Google Sans Text"/>
          <w:color w:val="1f1f1f"/>
          <w:rtl w:val="0"/>
        </w:rPr>
        <w:t xml:space="preserve"> significant proteinuria OR end-organ dysfunction. Importantly, proteinuria is no longer an absolute requirement for diagnosis if other severe features (thrombocytopenia, renal insufficiency, impaired liver function, pulmonary edema, cerebral/visual symptoms) are present.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A">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Chronic Hypertension:</w:t>
      </w:r>
      <w:r w:rsidDel="00000000" w:rsidR="00000000" w:rsidRPr="00000000">
        <w:rPr>
          <w:rFonts w:ascii="Google Sans Text" w:cs="Google Sans Text" w:eastAsia="Google Sans Text" w:hAnsi="Google Sans Text"/>
          <w:color w:val="1f1f1f"/>
          <w:rtl w:val="0"/>
        </w:rPr>
        <w:t xml:space="preserve"> Hypertension present before pregnancy or diagnosed before 20 weeks gestation.</w:t>
      </w:r>
    </w:p>
    <w:p w:rsidR="00000000" w:rsidDel="00000000" w:rsidP="00000000" w:rsidRDefault="00000000" w:rsidRPr="00000000" w14:paraId="0000005B">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White Coat Hypertension:</w:t>
      </w:r>
      <w:r w:rsidDel="00000000" w:rsidR="00000000" w:rsidRPr="00000000">
        <w:rPr>
          <w:rFonts w:ascii="Google Sans Text" w:cs="Google Sans Text" w:eastAsia="Google Sans Text" w:hAnsi="Google Sans Text"/>
          <w:color w:val="1f1f1f"/>
          <w:rtl w:val="0"/>
        </w:rPr>
        <w:t xml:space="preserve"> Clinic BP ≥140/90 mmHg but home/ambulatory BP &lt;135/85 mmHg. This category is explicitly recognized to prevent over-treatment.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C">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Masked Hypertension:</w:t>
      </w:r>
      <w:r w:rsidDel="00000000" w:rsidR="00000000" w:rsidRPr="00000000">
        <w:rPr>
          <w:rFonts w:ascii="Google Sans Text" w:cs="Google Sans Text" w:eastAsia="Google Sans Text" w:hAnsi="Google Sans Text"/>
          <w:color w:val="1f1f1f"/>
          <w:rtl w:val="0"/>
        </w:rPr>
        <w:t xml:space="preserve"> Clinic BP &lt;140/90 mmHg but home/ambulatory BP ≥135/85 mmHg. This is a high-risk category often missed without home monitoring.</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D">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Pharmacotherapy in Pregnancy</w:t>
      </w:r>
    </w:p>
    <w:p w:rsidR="00000000" w:rsidDel="00000000" w:rsidP="00000000" w:rsidRDefault="00000000" w:rsidRPr="00000000" w14:paraId="0000005E">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threshold for initiating antihypertensive therapy has been lowered in recent years to protect the mother from cerebrovascular events. FOGSI and other guidelines recommend starting drug therapy when BP is ≥140/90 mmHg in women with comorbidities or end-organ damage, and definitely at ≥150/100 mmHg.</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F">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4.2.1 Oral Antihypertensives</w:t>
      </w:r>
    </w:p>
    <w:p w:rsidR="00000000" w:rsidDel="00000000" w:rsidP="00000000" w:rsidRDefault="00000000" w:rsidRPr="00000000" w14:paraId="00000060">
      <w:pPr>
        <w:widowControl w:val="0"/>
        <w:numPr>
          <w:ilvl w:val="0"/>
          <w:numId w:val="2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Labetalol:</w:t>
      </w:r>
      <w:r w:rsidDel="00000000" w:rsidR="00000000" w:rsidRPr="00000000">
        <w:rPr>
          <w:rFonts w:ascii="Google Sans Text" w:cs="Google Sans Text" w:eastAsia="Google Sans Text" w:hAnsi="Google Sans Text"/>
          <w:color w:val="1f1f1f"/>
          <w:rtl w:val="0"/>
        </w:rPr>
        <w:t xml:space="preserve"> The first-line agent of choice. It is an alpha- and beta-blocker that preserves uteroplacental blood flow.</w:t>
      </w:r>
    </w:p>
    <w:p w:rsidR="00000000" w:rsidDel="00000000" w:rsidP="00000000" w:rsidRDefault="00000000" w:rsidRPr="00000000" w14:paraId="00000061">
      <w:pPr>
        <w:widowControl w:val="0"/>
        <w:numPr>
          <w:ilvl w:val="0"/>
          <w:numId w:val="2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Methyldopa:</w:t>
      </w:r>
      <w:r w:rsidDel="00000000" w:rsidR="00000000" w:rsidRPr="00000000">
        <w:rPr>
          <w:rFonts w:ascii="Google Sans Text" w:cs="Google Sans Text" w:eastAsia="Google Sans Text" w:hAnsi="Google Sans Text"/>
          <w:color w:val="1f1f1f"/>
          <w:rtl w:val="0"/>
        </w:rPr>
        <w:t xml:space="preserve"> A centrally acting alpha-agonist with a long safety record, though its mild potency and side effect profile (drowsiness, depression) limit its utility in severe cases.</w:t>
      </w:r>
    </w:p>
    <w:p w:rsidR="00000000" w:rsidDel="00000000" w:rsidP="00000000" w:rsidRDefault="00000000" w:rsidRPr="00000000" w14:paraId="00000062">
      <w:pPr>
        <w:widowControl w:val="0"/>
        <w:numPr>
          <w:ilvl w:val="0"/>
          <w:numId w:val="2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Nifedipine (Sustained Release):</w:t>
      </w:r>
      <w:r w:rsidDel="00000000" w:rsidR="00000000" w:rsidRPr="00000000">
        <w:rPr>
          <w:rFonts w:ascii="Google Sans Text" w:cs="Google Sans Text" w:eastAsia="Google Sans Text" w:hAnsi="Google Sans Text"/>
          <w:color w:val="1f1f1f"/>
          <w:rtl w:val="0"/>
        </w:rPr>
        <w:t xml:space="preserve"> A calcium channel blocker widely used in India. It is potent and effective but can cause reflex tachycardia. Sublingual nifedipine is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recommended due to the risk of precipitous hypotension.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3">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4.2.2 Management of Severe Preeclampsia and Eclampsia</w:t>
      </w:r>
    </w:p>
    <w:p w:rsidR="00000000" w:rsidDel="00000000" w:rsidP="00000000" w:rsidRDefault="00000000" w:rsidRPr="00000000" w14:paraId="00000064">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Severe hypertension (≥160/110 mmHg) is a medical emergency requiring intravenous therapy.</w:t>
      </w:r>
    </w:p>
    <w:p w:rsidR="00000000" w:rsidDel="00000000" w:rsidP="00000000" w:rsidRDefault="00000000" w:rsidRPr="00000000" w14:paraId="00000065">
      <w:pPr>
        <w:widowControl w:val="0"/>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IV Labetalol:</w:t>
      </w:r>
      <w:r w:rsidDel="00000000" w:rsidR="00000000" w:rsidRPr="00000000">
        <w:rPr>
          <w:rFonts w:ascii="Google Sans Text" w:cs="Google Sans Text" w:eastAsia="Google Sans Text" w:hAnsi="Google Sans Text"/>
          <w:color w:val="1f1f1f"/>
          <w:rtl w:val="0"/>
        </w:rPr>
        <w:t xml:space="preserve"> Rapidly effective and titratable.</w:t>
      </w:r>
    </w:p>
    <w:p w:rsidR="00000000" w:rsidDel="00000000" w:rsidP="00000000" w:rsidRDefault="00000000" w:rsidRPr="00000000" w14:paraId="00000066">
      <w:pPr>
        <w:widowControl w:val="0"/>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Magnesium Sulfate (MgSO4):</w:t>
      </w:r>
      <w:r w:rsidDel="00000000" w:rsidR="00000000" w:rsidRPr="00000000">
        <w:rPr>
          <w:rFonts w:ascii="Google Sans Text" w:cs="Google Sans Text" w:eastAsia="Google Sans Text" w:hAnsi="Google Sans Text"/>
          <w:color w:val="1f1f1f"/>
          <w:rtl w:val="0"/>
        </w:rPr>
        <w:t xml:space="preserve"> This is the gold standard for </w:t>
      </w:r>
      <w:r w:rsidDel="00000000" w:rsidR="00000000" w:rsidRPr="00000000">
        <w:rPr>
          <w:rFonts w:ascii="Google Sans Text" w:cs="Google Sans Text" w:eastAsia="Google Sans Text" w:hAnsi="Google Sans Text"/>
          <w:b w:val="1"/>
          <w:bCs w:val="1"/>
          <w:color w:val="1f1f1f"/>
          <w:rtl w:val="0"/>
        </w:rPr>
        <w:t xml:space="preserve">seizure prophylaxis</w:t>
      </w:r>
      <w:r w:rsidDel="00000000" w:rsidR="00000000" w:rsidRPr="00000000">
        <w:rPr>
          <w:rFonts w:ascii="Google Sans Text" w:cs="Google Sans Text" w:eastAsia="Google Sans Text" w:hAnsi="Google Sans Text"/>
          <w:color w:val="1f1f1f"/>
          <w:rtl w:val="0"/>
        </w:rPr>
        <w:t xml:space="preserve"> in severe preeclampsia and for the treatment of eclamptic seizures. It is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an antihypertensive. The </w:t>
      </w:r>
      <w:r w:rsidDel="00000000" w:rsidR="00000000" w:rsidRPr="00000000">
        <w:rPr>
          <w:rFonts w:ascii="Google Sans Text" w:cs="Google Sans Text" w:eastAsia="Google Sans Text" w:hAnsi="Google Sans Text"/>
          <w:b w:val="1"/>
          <w:bCs w:val="1"/>
          <w:color w:val="1f1f1f"/>
          <w:rtl w:val="0"/>
        </w:rPr>
        <w:t xml:space="preserve">Pritchard Regimen</w:t>
      </w:r>
      <w:r w:rsidDel="00000000" w:rsidR="00000000" w:rsidRPr="00000000">
        <w:rPr>
          <w:rFonts w:ascii="Google Sans Text" w:cs="Google Sans Text" w:eastAsia="Google Sans Text" w:hAnsi="Google Sans Text"/>
          <w:color w:val="1f1f1f"/>
          <w:rtl w:val="0"/>
        </w:rPr>
        <w:t xml:space="preserve"> (intramuscular loading and maintenance doses) remains the preferred protocol in India due to its feasibility in resource-constrained settings where IV pumps may not be available.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7">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4.3 The "Fourth Trimester": Postpartum Hemodynamics and Monitoring</w:t>
      </w:r>
    </w:p>
    <w:p w:rsidR="00000000" w:rsidDel="00000000" w:rsidP="00000000" w:rsidRDefault="00000000" w:rsidRPr="00000000" w14:paraId="00000068">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postpartum period is a critical window of vulnerability. Physiological fluid shifts can cause blood pressure to peak 3–6 days after delivery, precisely when most women have been discharged from the hospital.</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9">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4.3.1 Postpartum Surveillance Protocols</w:t>
      </w:r>
    </w:p>
    <w:p w:rsidR="00000000" w:rsidDel="00000000" w:rsidP="00000000" w:rsidRDefault="00000000" w:rsidRPr="00000000" w14:paraId="0000006A">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FOGSI and ACOG guidelines stress the importance of structured follow-up.</w:t>
      </w:r>
    </w:p>
    <w:p w:rsidR="00000000" w:rsidDel="00000000" w:rsidP="00000000" w:rsidRDefault="00000000" w:rsidRPr="00000000" w14:paraId="0000006B">
      <w:pPr>
        <w:widowControl w:val="0"/>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Immediate Postpartum:</w:t>
      </w:r>
      <w:r w:rsidDel="00000000" w:rsidR="00000000" w:rsidRPr="00000000">
        <w:rPr>
          <w:rFonts w:ascii="Google Sans Text" w:cs="Google Sans Text" w:eastAsia="Google Sans Text" w:hAnsi="Google Sans Text"/>
          <w:color w:val="1f1f1f"/>
          <w:rtl w:val="0"/>
        </w:rPr>
        <w:t xml:space="preserve"> Inpatient monitoring for at least 72 hours for women with HDP.</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C">
      <w:pPr>
        <w:widowControl w:val="0"/>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First Week:</w:t>
      </w:r>
      <w:r w:rsidDel="00000000" w:rsidR="00000000" w:rsidRPr="00000000">
        <w:rPr>
          <w:rFonts w:ascii="Google Sans Text" w:cs="Google Sans Text" w:eastAsia="Google Sans Text" w:hAnsi="Google Sans Text"/>
          <w:color w:val="1f1f1f"/>
          <w:rtl w:val="0"/>
        </w:rPr>
        <w:t xml:space="preserve"> Blood pressure check within 7–10 days of delivery. This is crucial for detecting late-onset postpartum preeclampsia.</w:t>
      </w:r>
    </w:p>
    <w:p w:rsidR="00000000" w:rsidDel="00000000" w:rsidP="00000000" w:rsidRDefault="00000000" w:rsidRPr="00000000" w14:paraId="0000006D">
      <w:pPr>
        <w:widowControl w:val="0"/>
        <w:numPr>
          <w:ilvl w:val="0"/>
          <w:numId w:val="1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Pharmacotherapy:</w:t>
      </w:r>
      <w:r w:rsidDel="00000000" w:rsidR="00000000" w:rsidRPr="00000000">
        <w:rPr>
          <w:rFonts w:ascii="Google Sans Text" w:cs="Google Sans Text" w:eastAsia="Google Sans Text" w:hAnsi="Google Sans Text"/>
          <w:color w:val="1f1f1f"/>
          <w:rtl w:val="0"/>
        </w:rPr>
        <w:t xml:space="preserve"> Antihypertensives should be continued postpartum to maintain BP &lt;140/90 mmHg. Medications like Methyldopa, which can cause postpartum depression, are often switched to Enalapril or Nifedipine after delivery (once breastfeeding compatibility is confirmed—most are safe).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E">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4.3.2 Urgent Maternal Warning Signs</w:t>
      </w:r>
    </w:p>
    <w:p w:rsidR="00000000" w:rsidDel="00000000" w:rsidP="00000000" w:rsidRDefault="00000000" w:rsidRPr="00000000" w14:paraId="0000006F">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Discharge counseling must include explicit education on warning signs. Pharmacists and nurses should ensure the patient and her family can recognize:</w:t>
      </w:r>
    </w:p>
    <w:p w:rsidR="00000000" w:rsidDel="00000000" w:rsidP="00000000" w:rsidRDefault="00000000" w:rsidRPr="00000000" w14:paraId="00000070">
      <w:pPr>
        <w:widowControl w:val="0"/>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Neurological:</w:t>
      </w:r>
      <w:r w:rsidDel="00000000" w:rsidR="00000000" w:rsidRPr="00000000">
        <w:rPr>
          <w:rFonts w:ascii="Google Sans Text" w:cs="Google Sans Text" w:eastAsia="Google Sans Text" w:hAnsi="Google Sans Text"/>
          <w:color w:val="1f1f1f"/>
          <w:rtl w:val="0"/>
        </w:rPr>
        <w:t xml:space="preserve"> Severe, unremitting headache; visual disturbances (spots, blurring); confusion.</w:t>
      </w:r>
    </w:p>
    <w:p w:rsidR="00000000" w:rsidDel="00000000" w:rsidP="00000000" w:rsidRDefault="00000000" w:rsidRPr="00000000" w14:paraId="00000071">
      <w:pPr>
        <w:widowControl w:val="0"/>
        <w:numPr>
          <w:ilvl w:val="0"/>
          <w:numId w:val="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Gastrointestinal:</w:t>
      </w:r>
      <w:r w:rsidDel="00000000" w:rsidR="00000000" w:rsidRPr="00000000">
        <w:rPr>
          <w:rFonts w:ascii="Google Sans Text" w:cs="Google Sans Text" w:eastAsia="Google Sans Text" w:hAnsi="Google Sans Text"/>
          <w:color w:val="1f1f1f"/>
          <w:rtl w:val="0"/>
        </w:rPr>
        <w:t xml:space="preserve"> Severe epigastric pain (upper right quadrant), severe nausea/vomiting.</w:t>
      </w:r>
    </w:p>
    <w:p w:rsidR="00000000" w:rsidDel="00000000" w:rsidP="00000000" w:rsidRDefault="00000000" w:rsidRPr="00000000" w14:paraId="00000072">
      <w:pPr>
        <w:widowControl w:val="0"/>
        <w:numPr>
          <w:ilvl w:val="0"/>
          <w:numId w:val="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Respiratory:</w:t>
      </w:r>
      <w:r w:rsidDel="00000000" w:rsidR="00000000" w:rsidRPr="00000000">
        <w:rPr>
          <w:rFonts w:ascii="Google Sans Text" w:cs="Google Sans Text" w:eastAsia="Google Sans Text" w:hAnsi="Google Sans Text"/>
          <w:color w:val="1f1f1f"/>
          <w:rtl w:val="0"/>
        </w:rPr>
        <w:t xml:space="preserve"> Shortness of breath (indicating pulmonary edema).</w:t>
      </w:r>
    </w:p>
    <w:p w:rsidR="00000000" w:rsidDel="00000000" w:rsidP="00000000" w:rsidRDefault="00000000" w:rsidRPr="00000000" w14:paraId="00000073">
      <w:pPr>
        <w:widowControl w:val="0"/>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Peripheral:</w:t>
      </w:r>
      <w:r w:rsidDel="00000000" w:rsidR="00000000" w:rsidRPr="00000000">
        <w:rPr>
          <w:rFonts w:ascii="Google Sans Text" w:cs="Google Sans Text" w:eastAsia="Google Sans Text" w:hAnsi="Google Sans Text"/>
          <w:color w:val="1f1f1f"/>
          <w:rtl w:val="0"/>
        </w:rPr>
        <w:t xml:space="preserve"> Sudden, extreme swelling of the face or hands.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4">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5. Menopause and Metabolic Syndrome: The Cardiovascular Tipping Point</w:t>
      </w:r>
    </w:p>
    <w:p w:rsidR="00000000" w:rsidDel="00000000" w:rsidP="00000000" w:rsidRDefault="00000000" w:rsidRPr="00000000" w14:paraId="0000007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menopausal transition represents a period of accelerated cardiovascular risk for Indian women. The withdrawal of endogenous estrogen unmasks metabolic vulnerabilities, leading to a rapid accumulation of risk factors.</w:t>
      </w:r>
    </w:p>
    <w:p w:rsidR="00000000" w:rsidDel="00000000" w:rsidP="00000000" w:rsidRDefault="00000000" w:rsidRPr="00000000" w14:paraId="00000076">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Dyslipidemia and the Menopausal Transition</w:t>
      </w:r>
    </w:p>
    <w:p w:rsidR="00000000" w:rsidDel="00000000" w:rsidP="00000000" w:rsidRDefault="00000000" w:rsidRPr="00000000" w14:paraId="0000007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Indian women often develop a specific pattern of dyslipidemia post-menopause, characterized by:</w:t>
      </w:r>
    </w:p>
    <w:p w:rsidR="00000000" w:rsidDel="00000000" w:rsidP="00000000" w:rsidRDefault="00000000" w:rsidRPr="00000000" w14:paraId="00000078">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Elevated LDL-C and Triglycerides:</w:t>
      </w:r>
      <w:r w:rsidDel="00000000" w:rsidR="00000000" w:rsidRPr="00000000">
        <w:rPr>
          <w:rFonts w:ascii="Google Sans Text" w:cs="Google Sans Text" w:eastAsia="Google Sans Text" w:hAnsi="Google Sans Text"/>
          <w:color w:val="1f1f1f"/>
          <w:rtl w:val="0"/>
        </w:rPr>
        <w:t xml:space="preserve"> Estrogen deficiency leads to the upregulation of hepatic lipase and downregulation of LDL receptors.</w:t>
      </w:r>
    </w:p>
    <w:p w:rsidR="00000000" w:rsidDel="00000000" w:rsidP="00000000" w:rsidRDefault="00000000" w:rsidRPr="00000000" w14:paraId="00000079">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Reduced HDL-C:</w:t>
      </w:r>
      <w:r w:rsidDel="00000000" w:rsidR="00000000" w:rsidRPr="00000000">
        <w:rPr>
          <w:rFonts w:ascii="Google Sans Text" w:cs="Google Sans Text" w:eastAsia="Google Sans Text" w:hAnsi="Google Sans Text"/>
          <w:color w:val="1f1f1f"/>
          <w:rtl w:val="0"/>
        </w:rPr>
        <w:t xml:space="preserve"> The cardioprotective fraction decreases.</w:t>
      </w:r>
    </w:p>
    <w:p w:rsidR="00000000" w:rsidDel="00000000" w:rsidP="00000000" w:rsidRDefault="00000000" w:rsidRPr="00000000" w14:paraId="0000007A">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Increased Lipoprotein(a):</w:t>
      </w:r>
      <w:r w:rsidDel="00000000" w:rsidR="00000000" w:rsidRPr="00000000">
        <w:rPr>
          <w:rFonts w:ascii="Google Sans Text" w:cs="Google Sans Text" w:eastAsia="Google Sans Text" w:hAnsi="Google Sans Text"/>
          <w:color w:val="1f1f1f"/>
          <w:rtl w:val="0"/>
        </w:rPr>
        <w:t xml:space="preserve"> An independent, genetically determined risk factor that rises after menopause.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B">
      <w:pPr>
        <w:widowControl w:val="0"/>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Guideline Consensus (IMS &amp; Lipid Association of India):</w:t>
      </w:r>
      <w:r w:rsidDel="00000000" w:rsidR="00000000" w:rsidRPr="00000000">
        <w:rPr>
          <w:rFonts w:ascii="Google Sans Text" w:cs="Google Sans Text" w:eastAsia="Google Sans Text" w:hAnsi="Google Sans Text"/>
          <w:color w:val="1f1f1f"/>
          <w:rtl w:val="0"/>
        </w:rPr>
        <w:t xml:space="preserve"> Lipid screening should ideally commence at age 30–35 for Indian women due to the high prevalence of premature CAD. For postmenopausal women, aggressive lipid management is warranted. Statins remain the first-line therapy, with ezetimibe as an add-on for those not meeting targets.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C">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Menopausal Hormone Therapy (MHT): Risk vs. Benefit</w:t>
      </w:r>
    </w:p>
    <w:p w:rsidR="00000000" w:rsidDel="00000000" w:rsidP="00000000" w:rsidRDefault="00000000" w:rsidRPr="00000000" w14:paraId="0000007D">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 of Hormone Replacement Therapy (HRT/MHT) has been controversial since the initial Women's Health Initiative (WHI) results. However, modern analysis supports the "Timing Hypothesis."</w:t>
      </w:r>
    </w:p>
    <w:p w:rsidR="00000000" w:rsidDel="00000000" w:rsidP="00000000" w:rsidRDefault="00000000" w:rsidRPr="00000000" w14:paraId="0000007E">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5.2.1 The Timing Hypothesis</w:t>
      </w:r>
    </w:p>
    <w:p w:rsidR="00000000" w:rsidDel="00000000" w:rsidP="00000000" w:rsidRDefault="00000000" w:rsidRPr="00000000" w14:paraId="0000007F">
      <w:pPr>
        <w:widowControl w:val="0"/>
        <w:numPr>
          <w:ilvl w:val="0"/>
          <w:numId w:val="2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Early Initiation (&lt;60 years or &lt;10 years post-menopause):</w:t>
      </w:r>
      <w:r w:rsidDel="00000000" w:rsidR="00000000" w:rsidRPr="00000000">
        <w:rPr>
          <w:rFonts w:ascii="Google Sans Text" w:cs="Google Sans Text" w:eastAsia="Google Sans Text" w:hAnsi="Google Sans Text"/>
          <w:color w:val="1f1f1f"/>
          <w:rtl w:val="0"/>
        </w:rPr>
        <w:t xml:space="preserve"> MHT initiated in this window for symptom relief (vasomotor symptoms) is safe and may offer cardiovascular protection by improving lipid profiles and endothelial function.</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0">
      <w:pPr>
        <w:widowControl w:val="0"/>
        <w:numPr>
          <w:ilvl w:val="0"/>
          <w:numId w:val="2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 Initiation (&gt;60 years or &gt;10 years post-menopause):</w:t>
      </w:r>
      <w:r w:rsidDel="00000000" w:rsidR="00000000" w:rsidRPr="00000000">
        <w:rPr>
          <w:rFonts w:ascii="Google Sans Text" w:cs="Google Sans Text" w:eastAsia="Google Sans Text" w:hAnsi="Google Sans Text"/>
          <w:color w:val="1f1f1f"/>
          <w:rtl w:val="0"/>
        </w:rPr>
        <w:t xml:space="preserve"> Initiating MHT in older women is associated with increased risks of stroke and VTE and is generally contraindicated for cardiovascular prevention.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1">
      <w:pPr>
        <w:pStyle w:val="Heading4"/>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5.2.2 Pharmacological Selection</w:t>
      </w:r>
    </w:p>
    <w:p w:rsidR="00000000" w:rsidDel="00000000" w:rsidP="00000000" w:rsidRDefault="00000000" w:rsidRPr="00000000" w14:paraId="00000082">
      <w:pPr>
        <w:widowControl w:val="0"/>
        <w:numPr>
          <w:ilvl w:val="0"/>
          <w:numId w:val="1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Route of Administration:</w:t>
      </w:r>
      <w:r w:rsidDel="00000000" w:rsidR="00000000" w:rsidRPr="00000000">
        <w:rPr>
          <w:rFonts w:ascii="Google Sans Text" w:cs="Google Sans Text" w:eastAsia="Google Sans Text" w:hAnsi="Google Sans Text"/>
          <w:color w:val="1f1f1f"/>
          <w:rtl w:val="0"/>
        </w:rPr>
        <w:t xml:space="preserve"> Transdermal estrogen (patches/gels) is preferred over oral estrogen for women with cardiovascular risk factors (like obesity or diabetes). Transdermal routes bypass first-pass hepatic metabolism, thereby having a neutral effect on triglycerides and clotting factors.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3">
      <w:pPr>
        <w:widowControl w:val="0"/>
        <w:numPr>
          <w:ilvl w:val="0"/>
          <w:numId w:val="1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Progestogen Choice:</w:t>
      </w:r>
      <w:r w:rsidDel="00000000" w:rsidR="00000000" w:rsidRPr="00000000">
        <w:rPr>
          <w:rFonts w:ascii="Google Sans Text" w:cs="Google Sans Text" w:eastAsia="Google Sans Text" w:hAnsi="Google Sans Text"/>
          <w:color w:val="1f1f1f"/>
          <w:rtl w:val="0"/>
        </w:rPr>
        <w:t xml:space="preserve"> Micronized progesterone is considered metabolically neutral and safer for the breast compared to synthetic progestins like medroxyprogesterone acetate (MPA).</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4">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6. Co-morbidities and Polypharmacy: Navigating Drug Interactions</w:t>
      </w:r>
    </w:p>
    <w:p w:rsidR="00000000" w:rsidDel="00000000" w:rsidP="00000000" w:rsidRDefault="00000000" w:rsidRPr="00000000" w14:paraId="00000085">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Indian cardiac patient typically presents with multiple co-morbidities. The intersection of cardiovascular pharmacotherapy with treatments for endemic diseases like Tuberculosis (TB) and common ailments creates a landscape rife with potential drug-drug interactions.</w:t>
      </w:r>
    </w:p>
    <w:p w:rsidR="00000000" w:rsidDel="00000000" w:rsidP="00000000" w:rsidRDefault="00000000" w:rsidRPr="00000000" w14:paraId="00000086">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 The Tuberculosis-Cardiac Interface: Rifampicin Interactions</w:t>
      </w:r>
    </w:p>
    <w:p w:rsidR="00000000" w:rsidDel="00000000" w:rsidP="00000000" w:rsidRDefault="00000000" w:rsidRPr="00000000" w14:paraId="00000087">
      <w:pPr>
        <w:widowControl w:val="0"/>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TB remains a massive public health burden in India. Rifampicin, a cornerstone of Anti-Tubercular Therapy (ATT), is a potent inducer of hepatic CYP450 enzymes (specifically CYP3A4 and CYP2C9) and P-glycoprotein. This creates a "pharmacological black hole" for many cardiac drugs.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8">
      <w:pPr>
        <w:widowControl w:val="0"/>
        <w:numPr>
          <w:ilvl w:val="0"/>
          <w:numId w:val="1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Heart Failure Drugs:</w:t>
      </w:r>
      <w:r w:rsidDel="00000000" w:rsidR="00000000" w:rsidRPr="00000000">
        <w:rPr>
          <w:rFonts w:ascii="Google Sans Text" w:cs="Google Sans Text" w:eastAsia="Google Sans Text" w:hAnsi="Google Sans Text"/>
          <w:color w:val="1f1f1f"/>
          <w:rtl w:val="0"/>
        </w:rPr>
        <w:t xml:space="preserve"> Eplerenone and Digoxin are substrates of CYP3A4/P-gp. Co-administration with Rifampicin can reduce their plasma concentrations by &gt;50%, rendering them ineffective and potentially precipitating decompensated heart failure.</w:t>
      </w:r>
    </w:p>
    <w:p w:rsidR="00000000" w:rsidDel="00000000" w:rsidP="00000000" w:rsidRDefault="00000000" w:rsidRPr="00000000" w14:paraId="00000089">
      <w:pPr>
        <w:widowControl w:val="0"/>
        <w:numPr>
          <w:ilvl w:val="0"/>
          <w:numId w:val="1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Anticoagulants:</w:t>
      </w:r>
      <w:r w:rsidDel="00000000" w:rsidR="00000000" w:rsidRPr="00000000">
        <w:rPr>
          <w:rFonts w:ascii="Google Sans Text" w:cs="Google Sans Text" w:eastAsia="Google Sans Text" w:hAnsi="Google Sans Text"/>
          <w:color w:val="1f1f1f"/>
          <w:rtl w:val="0"/>
        </w:rPr>
        <w:t xml:space="preserve"> The efficacy of Warfarin and Direct Oral Anticoagulants (DOACs) like Apixaban and Rivaroxaban is drastically reduced. This puts patients with mechanical valves or Atrial Fibrillation at extreme risk of stroke or valve thrombosis.</w:t>
      </w:r>
    </w:p>
    <w:p w:rsidR="00000000" w:rsidDel="00000000" w:rsidP="00000000" w:rsidRDefault="00000000" w:rsidRPr="00000000" w14:paraId="0000008A">
      <w:pPr>
        <w:widowControl w:val="0"/>
        <w:numPr>
          <w:ilvl w:val="0"/>
          <w:numId w:val="1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Management:</w:t>
      </w:r>
      <w:r w:rsidDel="00000000" w:rsidR="00000000" w:rsidRPr="00000000">
        <w:rPr>
          <w:rFonts w:ascii="Google Sans Text" w:cs="Google Sans Text" w:eastAsia="Google Sans Text" w:hAnsi="Google Sans Text"/>
          <w:color w:val="1f1f1f"/>
          <w:rtl w:val="0"/>
        </w:rPr>
        <w:t xml:space="preserve"> Clinicians must be vigilant. Doses of cardiac drugs may need to be doubled or tripled under careful monitoring. For anticoagulation, switching to Heparin/LMWH (not metabolized by CYP) or extremely frequent INR monitoring with high-dose Warfarin is necessary.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B">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6.2 NSAID Misuse: The Silent Heart Failure Precipitant</w:t>
      </w:r>
    </w:p>
    <w:p w:rsidR="00000000" w:rsidDel="00000000" w:rsidP="00000000" w:rsidRDefault="00000000" w:rsidRPr="00000000" w14:paraId="0000008C">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Non-Steroidal Anti-Inflammatory Drugs (NSAIDs) are widely available over-the-counter in India. Brands like </w:t>
      </w:r>
      <w:r w:rsidDel="00000000" w:rsidR="00000000" w:rsidRPr="00000000">
        <w:rPr>
          <w:rFonts w:ascii="Google Sans Text" w:cs="Google Sans Text" w:eastAsia="Google Sans Text" w:hAnsi="Google Sans Text"/>
          <w:b w:val="1"/>
          <w:bCs w:val="1"/>
          <w:color w:val="1f1f1f"/>
          <w:rtl w:val="0"/>
        </w:rPr>
        <w:t xml:space="preserve">Meftal (Mefenamic Acid)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Combiflam (Ibuprofen + Paracetamol)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Voveran (Diclofenac)</w:t>
      </w:r>
      <w:r w:rsidDel="00000000" w:rsidR="00000000" w:rsidRPr="00000000">
        <w:rPr>
          <w:rFonts w:ascii="Google Sans Text" w:cs="Google Sans Text" w:eastAsia="Google Sans Text" w:hAnsi="Google Sans Text"/>
          <w:color w:val="1f1f1f"/>
          <w:rtl w:val="0"/>
        </w:rPr>
        <w:t xml:space="preserve"> are household names.</w:t>
      </w:r>
    </w:p>
    <w:p w:rsidR="00000000" w:rsidDel="00000000" w:rsidP="00000000" w:rsidRDefault="00000000" w:rsidRPr="00000000" w14:paraId="0000008D">
      <w:pPr>
        <w:widowControl w:val="0"/>
        <w:numPr>
          <w:ilvl w:val="0"/>
          <w:numId w:val="2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 of Harm:</w:t>
      </w:r>
      <w:r w:rsidDel="00000000" w:rsidR="00000000" w:rsidRPr="00000000">
        <w:rPr>
          <w:rFonts w:ascii="Google Sans Text" w:cs="Google Sans Text" w:eastAsia="Google Sans Text" w:hAnsi="Google Sans Text"/>
          <w:color w:val="1f1f1f"/>
          <w:rtl w:val="0"/>
        </w:rPr>
        <w:t xml:space="preserve"> NSAIDs inhibit prostaglandin synthesis in the kidneys, leading to sodium and water retention and renal vasoconstriction. In patients with compromised cardiac function, this increased fluid load can tip a stable patient into acute pulmonary edema.</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E">
      <w:pPr>
        <w:widowControl w:val="0"/>
        <w:numPr>
          <w:ilvl w:val="0"/>
          <w:numId w:val="2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Cardiovascular Risk:</w:t>
      </w:r>
      <w:r w:rsidDel="00000000" w:rsidR="00000000" w:rsidRPr="00000000">
        <w:rPr>
          <w:rFonts w:ascii="Google Sans Text" w:cs="Google Sans Text" w:eastAsia="Google Sans Text" w:hAnsi="Google Sans Text"/>
          <w:color w:val="1f1f1f"/>
          <w:rtl w:val="0"/>
        </w:rPr>
        <w:t xml:space="preserve"> Diclofenac, in particular, has been associated with a significant increase in the risk of recurrent myocardial infarction and cardiovascular death.</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F">
      <w:pPr>
        <w:widowControl w:val="0"/>
        <w:numPr>
          <w:ilvl w:val="0"/>
          <w:numId w:val="2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Pharmacist's Role:</w:t>
      </w:r>
      <w:r w:rsidDel="00000000" w:rsidR="00000000" w:rsidRPr="00000000">
        <w:rPr>
          <w:rFonts w:ascii="Google Sans Text" w:cs="Google Sans Text" w:eastAsia="Google Sans Text" w:hAnsi="Google Sans Text"/>
          <w:color w:val="1f1f1f"/>
          <w:rtl w:val="0"/>
        </w:rPr>
        <w:t xml:space="preserve"> Pharmacists must actively gatekeep these drugs. Patients with known hypertension or heart failure should be counseled to avoid NSAIDs and use Paracetamol (Acetaminophen) for pain relief.</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0">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7. Integrative Pharmacology: Herb-Drug Interactions</w:t>
      </w:r>
    </w:p>
    <w:p w:rsidR="00000000" w:rsidDel="00000000" w:rsidP="00000000" w:rsidRDefault="00000000" w:rsidRPr="00000000" w14:paraId="0000009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concept of the "Kitchen Pharmacy" is deeply embedded in Indian culture. While spices like turmeric and garlic have health benefits, they act as potent pharmacological agents that can interact with prescription cardiac medicines, particularly anticoagulants.</w:t>
      </w:r>
    </w:p>
    <w:p w:rsidR="00000000" w:rsidDel="00000000" w:rsidP="00000000" w:rsidRDefault="00000000" w:rsidRPr="00000000" w14:paraId="00000092">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Common Indian Herbs/Spices and Interaction with Cardiac Pharmacotherapy</w:t>
      </w:r>
    </w:p>
    <w:p w:rsidR="00000000" w:rsidDel="00000000" w:rsidP="00000000" w:rsidRDefault="00000000" w:rsidRPr="00000000" w14:paraId="00000093">
      <w:pPr>
        <w:widowControl w:val="0"/>
        <w:spacing w:after="240" w:line="275.9999942779541" w:lineRule="auto"/>
        <w:ind w:left="300" w:right="300" w:firstLine="0"/>
        <w:rPr>
          <w:rFonts w:ascii="Google Sans Text" w:cs="Google Sans Text" w:eastAsia="Google Sans Text" w:hAnsi="Google Sans Text"/>
          <w:b w:val="1"/>
          <w:bCs w:val="1"/>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Herb / Spice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Active Constituent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Pharmacological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Interaction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Counseling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Turmeric (Haldi)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Curcumin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Inhibits platelet aggregation; may inhibit CYP3A4.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Bleeding Risk:</w:t>
            </w:r>
            <w:r w:rsidDel="00000000" w:rsidR="00000000" w:rsidRPr="00000000">
              <w:rPr>
                <w:rFonts w:ascii="Google Sans Text" w:cs="Google Sans Text" w:eastAsia="Google Sans Text" w:hAnsi="Google Sans Text"/>
                <w:color w:val="1f1f1f"/>
                <w:rtl w:val="0"/>
              </w:rPr>
              <w:t xml:space="preserve"> Potentiates Warfarin and antiplatelets. Can raise INR.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Dietary amounts are safe. Avoid concentrated curcumin supplements.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Ginger (Adrak)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Gingerols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Inhibits thromboxane synthetase (antiplatelet).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Bleeding Risk:</w:t>
            </w:r>
            <w:r w:rsidDel="00000000" w:rsidR="00000000" w:rsidRPr="00000000">
              <w:rPr>
                <w:rFonts w:ascii="Google Sans Text" w:cs="Google Sans Text" w:eastAsia="Google Sans Text" w:hAnsi="Google Sans Text"/>
                <w:color w:val="1f1f1f"/>
                <w:rtl w:val="0"/>
              </w:rPr>
              <w:t xml:space="preserve"> Additive effect with Aspirin/Clopidogrel.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Monitor INR. Caution with high intake (e.g., ginger supplements/juices).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Garlic (Lahsun)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Allicin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Antiplatelet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Bleeding Risk:</w:t>
            </w:r>
            <w:r w:rsidDel="00000000" w:rsidR="00000000" w:rsidRPr="00000000">
              <w:rPr>
                <w:rFonts w:ascii="Google Sans Text" w:cs="Google Sans Text" w:eastAsia="Google Sans Text" w:hAnsi="Google Sans Text"/>
                <w:color w:val="1f1f1f"/>
                <w:rtl w:val="0"/>
              </w:rPr>
              <w:t xml:space="preserve"> Increased bleeding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Stop high-dose garlic supplements 7 days before any surgery.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Fenugreek (Methi)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Coumarins, Saponins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Hypoglycemic; Potential anticoagulant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Bleeding &amp; Hypoglycemia:</w:t>
            </w:r>
            <w:r w:rsidDel="00000000" w:rsidR="00000000" w:rsidRPr="00000000">
              <w:rPr>
                <w:rFonts w:ascii="Google Sans Text" w:cs="Google Sans Text" w:eastAsia="Google Sans Text" w:hAnsi="Google Sans Text"/>
                <w:color w:val="1f1f1f"/>
                <w:rtl w:val="0"/>
              </w:rPr>
              <w:t xml:space="preserve"> May potentiate Warfarin and anti-diabetics.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Monitor blood glucose and INR if consuming large quantities of seeds.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Danshen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Tanshinones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Strongly inhibits CYP enzymes.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Toxicity:</w:t>
            </w:r>
            <w:r w:rsidDel="00000000" w:rsidR="00000000" w:rsidRPr="00000000">
              <w:rPr>
                <w:rFonts w:ascii="Google Sans Text" w:cs="Google Sans Text" w:eastAsia="Google Sans Text" w:hAnsi="Google Sans Text"/>
                <w:color w:val="1f1f1f"/>
                <w:rtl w:val="0"/>
              </w:rPr>
              <w:t xml:space="preserve"> Major interaction with Warfarin &amp; Digoxin.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Strictly Contraindicated</w:t>
            </w:r>
            <w:r w:rsidDel="00000000" w:rsidR="00000000" w:rsidRPr="00000000">
              <w:rPr>
                <w:rFonts w:ascii="Google Sans Text" w:cs="Google Sans Text" w:eastAsia="Google Sans Text" w:hAnsi="Google Sans Text"/>
                <w:color w:val="1f1f1f"/>
                <w:rtl w:val="0"/>
              </w:rPr>
              <w:t xml:space="preserve"> with cardiac meds. </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bl>
    <w:p w:rsidR="00000000" w:rsidDel="00000000" w:rsidP="00000000" w:rsidRDefault="00000000" w:rsidRPr="00000000" w14:paraId="000000B2">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8. Socio-Cultural and Environmental Determinants of Care</w:t>
      </w:r>
    </w:p>
    <w:p w:rsidR="00000000" w:rsidDel="00000000" w:rsidP="00000000" w:rsidRDefault="00000000" w:rsidRPr="00000000" w14:paraId="000000B3">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Effective cardiac care in India cannot ignore the social and environmental context. From the sweltering heat affecting drug stability to the rigid social norms governing women's lives, these factors are as important as the drugs themselves.</w:t>
      </w:r>
    </w:p>
    <w:p w:rsidR="00000000" w:rsidDel="00000000" w:rsidP="00000000" w:rsidRDefault="00000000" w:rsidRPr="00000000" w14:paraId="000000B4">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8.1 Medication Storage in Tropical Climates: The Clay Pot Solution</w:t>
      </w:r>
    </w:p>
    <w:p w:rsidR="00000000" w:rsidDel="00000000" w:rsidP="00000000" w:rsidRDefault="00000000" w:rsidRPr="00000000" w14:paraId="000000B5">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Many cardiac drugs are thermolabile. Nitroglycerin, essential for angina, degrades rapidly if exposed to heat. Insulin and Enoxaparin require storage below 25-30°C. In rural India, where summer temperatures exceed 45°C and electricity is intermittent, "room temperature" storage is a fallacy.</w:t>
      </w:r>
    </w:p>
    <w:p w:rsidR="00000000" w:rsidDel="00000000" w:rsidP="00000000" w:rsidRDefault="00000000" w:rsidRPr="00000000" w14:paraId="000000B6">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Nitroglycerin:</w:t>
      </w:r>
      <w:r w:rsidDel="00000000" w:rsidR="00000000" w:rsidRPr="00000000">
        <w:rPr>
          <w:rFonts w:ascii="Google Sans Text" w:cs="Google Sans Text" w:eastAsia="Google Sans Text" w:hAnsi="Google Sans Text"/>
          <w:color w:val="1f1f1f"/>
          <w:rtl w:val="0"/>
        </w:rPr>
        <w:t xml:space="preserve"> Tablets must be kept in their original amber glass bottles, tightly capped. If carried in a pocket or left in a hot car, they lose potency within days. Patients should replace bottles 3 months after opening.</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B7">
      <w:pPr>
        <w:widowControl w:val="0"/>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Evaporative Cooling (Zeer Pots):</w:t>
      </w:r>
      <w:r w:rsidDel="00000000" w:rsidR="00000000" w:rsidRPr="00000000">
        <w:rPr>
          <w:rFonts w:ascii="Google Sans Text" w:cs="Google Sans Text" w:eastAsia="Google Sans Text" w:hAnsi="Google Sans Text"/>
          <w:color w:val="1f1f1f"/>
          <w:rtl w:val="0"/>
        </w:rPr>
        <w:t xml:space="preserve"> For insulin and injectables, the </w:t>
      </w:r>
      <w:r w:rsidDel="00000000" w:rsidR="00000000" w:rsidRPr="00000000">
        <w:rPr>
          <w:rFonts w:ascii="Google Sans Text" w:cs="Google Sans Text" w:eastAsia="Google Sans Text" w:hAnsi="Google Sans Text"/>
          <w:b w:val="1"/>
          <w:bCs w:val="1"/>
          <w:color w:val="1f1f1f"/>
          <w:rtl w:val="0"/>
        </w:rPr>
        <w:t xml:space="preserve">Clay Pot method</w:t>
      </w:r>
      <w:r w:rsidDel="00000000" w:rsidR="00000000" w:rsidRPr="00000000">
        <w:rPr>
          <w:rFonts w:ascii="Google Sans Text" w:cs="Google Sans Text" w:eastAsia="Google Sans Text" w:hAnsi="Google Sans Text"/>
          <w:color w:val="1f1f1f"/>
          <w:rtl w:val="0"/>
        </w:rPr>
        <w:t xml:space="preserve"> is a validated low-tech solution. Placing medication in a waterproof bag inside a clay pot, which is then placed inside a larger clay pot filled with wet sand and covered with a wet cloth, can maintain internal temperatures significantly lower than ambient heat (often 10-15°C lower). Studies have confirmed this method can preserve the potency of insulin for weeks in hot climates.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B8">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 Religious Fasting: Physiology and Management</w:t>
      </w:r>
    </w:p>
    <w:p w:rsidR="00000000" w:rsidDel="00000000" w:rsidP="00000000" w:rsidRDefault="00000000" w:rsidRPr="00000000" w14:paraId="000000B9">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Fasting is central to Indian spirituality, but rigorous fasts like Karwa Chauth and Ramadan pose risks for cardiac patients.</w:t>
      </w:r>
    </w:p>
    <w:p w:rsidR="00000000" w:rsidDel="00000000" w:rsidP="00000000" w:rsidRDefault="00000000" w:rsidRPr="00000000" w14:paraId="000000BA">
      <w:pPr>
        <w:widowControl w:val="0"/>
        <w:numPr>
          <w:ilvl w:val="0"/>
          <w:numId w:val="1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Karwa Chauth (Nirjala Vrat):</w:t>
      </w:r>
      <w:r w:rsidDel="00000000" w:rsidR="00000000" w:rsidRPr="00000000">
        <w:rPr>
          <w:rFonts w:ascii="Google Sans Text" w:cs="Google Sans Text" w:eastAsia="Google Sans Text" w:hAnsi="Google Sans Text"/>
          <w:color w:val="1f1f1f"/>
          <w:rtl w:val="0"/>
        </w:rPr>
        <w:t xml:space="preserve"> This involves complete abstinence from food and water from sunrise to moonrise.</w:t>
      </w:r>
    </w:p>
    <w:p w:rsidR="00000000" w:rsidDel="00000000" w:rsidP="00000000" w:rsidRDefault="00000000" w:rsidRPr="00000000" w14:paraId="000000BB">
      <w:pPr>
        <w:widowControl w:val="0"/>
        <w:numPr>
          <w:ilvl w:val="1"/>
          <w:numId w:val="21"/>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Physiological Risk:</w:t>
      </w:r>
      <w:r w:rsidDel="00000000" w:rsidR="00000000" w:rsidRPr="00000000">
        <w:rPr>
          <w:rFonts w:ascii="Google Sans Text" w:cs="Google Sans Text" w:eastAsia="Google Sans Text" w:hAnsi="Google Sans Text"/>
          <w:color w:val="1f1f1f"/>
          <w:rtl w:val="0"/>
        </w:rPr>
        <w:t xml:space="preserve"> Dehydration leads to hemoconcentration (thickening of blood), increasing the risk of thrombosis in patients with stents or mechanical valves. Hypovolemia can cause hypotension and reflex tachycardia.</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BC">
      <w:pPr>
        <w:widowControl w:val="0"/>
        <w:numPr>
          <w:ilvl w:val="1"/>
          <w:numId w:val="2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Advisory:</w:t>
      </w:r>
      <w:r w:rsidDel="00000000" w:rsidR="00000000" w:rsidRPr="00000000">
        <w:rPr>
          <w:rFonts w:ascii="Google Sans Text" w:cs="Google Sans Text" w:eastAsia="Google Sans Text" w:hAnsi="Google Sans Text"/>
          <w:color w:val="1f1f1f"/>
          <w:rtl w:val="0"/>
        </w:rPr>
        <w:t xml:space="preserve"> Experts like Dr. Naresh Trehan and Dr. Devi Shetty advise against waterless fasting for patients with uncontrolled hypertension, recent MI, or heart failure. If undertaken, patients must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skip medications. Drugs usually taken in the morning can be taken at the pre-dawn meal (</w:t>
      </w:r>
      <w:r w:rsidDel="00000000" w:rsidR="00000000" w:rsidRPr="00000000">
        <w:rPr>
          <w:rFonts w:ascii="Google Sans Text" w:cs="Google Sans Text" w:eastAsia="Google Sans Text" w:hAnsi="Google Sans Text"/>
          <w:i w:val="1"/>
          <w:iCs w:val="1"/>
          <w:color w:val="1f1f1f"/>
          <w:rtl w:val="0"/>
        </w:rPr>
        <w:t xml:space="preserve">Sargi</w:t>
      </w:r>
      <w:r w:rsidDel="00000000" w:rsidR="00000000" w:rsidRPr="00000000">
        <w:rPr>
          <w:rFonts w:ascii="Google Sans Text" w:cs="Google Sans Text" w:eastAsia="Google Sans Text" w:hAnsi="Google Sans Text"/>
          <w:color w:val="1f1f1f"/>
          <w:rtl w:val="0"/>
        </w:rPr>
        <w:t xml:space="preserve">), and evening doses after breaking the fast.</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BD">
      <w:pPr>
        <w:widowControl w:val="0"/>
        <w:numPr>
          <w:ilvl w:val="0"/>
          <w:numId w:val="1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Ramadan:</w:t>
      </w:r>
      <w:r w:rsidDel="00000000" w:rsidR="00000000" w:rsidRPr="00000000">
        <w:rPr>
          <w:rFonts w:ascii="Google Sans Text" w:cs="Google Sans Text" w:eastAsia="Google Sans Text" w:hAnsi="Google Sans Text"/>
          <w:color w:val="1f1f1f"/>
          <w:rtl w:val="0"/>
        </w:rPr>
        <w:t xml:space="preserve"> Intermittent fasting allows for hydration at night.</w:t>
      </w:r>
    </w:p>
    <w:p w:rsidR="00000000" w:rsidDel="00000000" w:rsidP="00000000" w:rsidRDefault="00000000" w:rsidRPr="00000000" w14:paraId="000000BE">
      <w:pPr>
        <w:widowControl w:val="0"/>
        <w:numPr>
          <w:ilvl w:val="1"/>
          <w:numId w:val="22"/>
        </w:numP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Adjustments:</w:t>
      </w:r>
      <w:r w:rsidDel="00000000" w:rsidR="00000000" w:rsidRPr="00000000">
        <w:rPr>
          <w:rFonts w:ascii="Google Sans Text" w:cs="Google Sans Text" w:eastAsia="Google Sans Text" w:hAnsi="Google Sans Text"/>
          <w:color w:val="1f1f1f"/>
          <w:rtl w:val="0"/>
        </w:rPr>
        <w:t xml:space="preserve"> Diuretics should be timed for the evening to avoid daytime dehydration. Anticoagulant (Warfarin) monitoring is crucial due to dietary changes affecting Vitamin K intake.</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BF">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 Stigma and "Marriageability"</w:t>
      </w:r>
    </w:p>
    <w:p w:rsidR="00000000" w:rsidDel="00000000" w:rsidP="00000000" w:rsidRDefault="00000000" w:rsidRPr="00000000" w14:paraId="000000C0">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pervasive barrier to adherence in young Indian women is the fear that a diagnosis of heart disease will render them "unmarriageable."</w:t>
      </w:r>
    </w:p>
    <w:p w:rsidR="00000000" w:rsidDel="00000000" w:rsidP="00000000" w:rsidRDefault="00000000" w:rsidRPr="00000000" w14:paraId="000000C1">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Concealment Culture:</w:t>
      </w:r>
      <w:r w:rsidDel="00000000" w:rsidR="00000000" w:rsidRPr="00000000">
        <w:rPr>
          <w:rFonts w:ascii="Google Sans Text" w:cs="Google Sans Text" w:eastAsia="Google Sans Text" w:hAnsi="Google Sans Text"/>
          <w:color w:val="1f1f1f"/>
          <w:rtl w:val="0"/>
        </w:rPr>
        <w:t xml:space="preserve"> Qualitative research reveals that families often hide a daughter's condition from prospective in-laws. Young women may be pressured to stop taking visible medications to maintain the façade of perfect health.</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C2">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Pharmacist's Role:</w:t>
      </w:r>
      <w:r w:rsidDel="00000000" w:rsidR="00000000" w:rsidRPr="00000000">
        <w:rPr>
          <w:rFonts w:ascii="Google Sans Text" w:cs="Google Sans Text" w:eastAsia="Google Sans Text" w:hAnsi="Google Sans Text"/>
          <w:color w:val="1f1f1f"/>
          <w:rtl w:val="0"/>
        </w:rPr>
        <w:t xml:space="preserve"> Pharmacists can provide discreet counseling and emphasize that adherence prevents visible complications (like heart failure symptoms) that would be harder to hide, thus framing adherence as a way to maintain social normalcy.</w:t>
      </w:r>
    </w:p>
    <w:p w:rsidR="00000000" w:rsidDel="00000000" w:rsidP="00000000" w:rsidRDefault="00000000" w:rsidRPr="00000000" w14:paraId="000000C3">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9. Economic Pharmacotherapy: The Jan Aushadhi Initiative</w:t>
      </w:r>
    </w:p>
    <w:p w:rsidR="00000000" w:rsidDel="00000000" w:rsidP="00000000" w:rsidRDefault="00000000" w:rsidRPr="00000000" w14:paraId="000000C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Financial toxicity is a major cause of non-adherence in India. The Pradhan Mantri Bhartiya Janaushadhi Pariyojana (PMBJP) offers a lifeline by providing high-quality generic medicines at a fraction of the cost of branded equivalents.</w:t>
      </w:r>
    </w:p>
    <w:p w:rsidR="00000000" w:rsidDel="00000000" w:rsidP="00000000" w:rsidRDefault="00000000" w:rsidRPr="00000000" w14:paraId="000000C5">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Cost Comparison of Essential Cardiac Medicines (2024-2025)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Drug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Branded Price (Approx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 Aushadhi Price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Potential Savings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Atorvastatin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 mg (10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60 - 90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5.11 - 8.80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Clopidogrel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75 mg (10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50 - 110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12.01 - 15.00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Aspirin + Clopidogrel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75/75 mg (10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70 - 150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19.16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Amlodipine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 mg (10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25 - 45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2.68 - 5.50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Metoprolol Succinate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50 mg (10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80 - 120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9.29 - 9.90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Enoxaparin Inj.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40 mg/0.4ml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400 - 600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183.00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Telmisartan + Amlodipine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40/5 mg (10 tabs)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80 - 140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17.66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w:t>
            </w:r>
          </w:p>
        </w:tc>
      </w:tr>
    </w:tbl>
    <w:p w:rsidR="00000000" w:rsidDel="00000000" w:rsidP="00000000" w:rsidRDefault="00000000" w:rsidRPr="00000000" w14:paraId="000000EE">
      <w:pPr>
        <w:widowControl w:val="0"/>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EF">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Stent Pricing:</w:t>
      </w:r>
      <w:r w:rsidDel="00000000" w:rsidR="00000000" w:rsidRPr="00000000">
        <w:rPr>
          <w:rFonts w:ascii="Google Sans Text" w:cs="Google Sans Text" w:eastAsia="Google Sans Text" w:hAnsi="Google Sans Text"/>
          <w:color w:val="1f1f1f"/>
          <w:rtl w:val="0"/>
        </w:rPr>
        <w:t xml:space="preserve"> The government has also capped stent prices to improve access. As of recent regulations, Bare Metal Stents (BMS) are capped at approximately ₹8,000–10,000, and Drug-Eluting Stents (DES) at approximately ₹30,000–35,000. In the private sector, angioplasty packages range from ₹2–4 Lakhs, whereas government schemes (Ayushman Bharat) provide coverage for eligible families.</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F0">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10. The Role of the Pharmacist and Caregiver: Bridging the Gap</w:t>
      </w:r>
    </w:p>
    <w:p w:rsidR="00000000" w:rsidDel="00000000" w:rsidP="00000000" w:rsidRDefault="00000000" w:rsidRPr="00000000" w14:paraId="000000F1">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Pharmacists in India are often the first and last point of contact for patients. Their role must evolve from simple dispensing to active clinical management.</w:t>
      </w:r>
    </w:p>
    <w:p w:rsidR="00000000" w:rsidDel="00000000" w:rsidP="00000000" w:rsidRDefault="00000000" w:rsidRPr="00000000" w14:paraId="000000F2">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10.1 Key Pharmacist Interventions</w:t>
      </w:r>
    </w:p>
    <w:p w:rsidR="00000000" w:rsidDel="00000000" w:rsidP="00000000" w:rsidRDefault="00000000" w:rsidRPr="00000000" w14:paraId="000000F3">
      <w:pPr>
        <w:widowControl w:val="0"/>
        <w:numPr>
          <w:ilvl w:val="0"/>
          <w:numId w:val="18"/>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Gatekeeping:</w:t>
      </w:r>
      <w:r w:rsidDel="00000000" w:rsidR="00000000" w:rsidRPr="00000000">
        <w:rPr>
          <w:rFonts w:ascii="Google Sans Text" w:cs="Google Sans Text" w:eastAsia="Google Sans Text" w:hAnsi="Google Sans Text"/>
          <w:color w:val="1f1f1f"/>
          <w:rtl w:val="0"/>
        </w:rPr>
        <w:t xml:space="preserve"> Actively screen for contraindications when dispensing OTC NSAIDs.</w:t>
      </w:r>
    </w:p>
    <w:p w:rsidR="00000000" w:rsidDel="00000000" w:rsidP="00000000" w:rsidRDefault="00000000" w:rsidRPr="00000000" w14:paraId="000000F4">
      <w:pPr>
        <w:widowControl w:val="0"/>
        <w:numPr>
          <w:ilvl w:val="0"/>
          <w:numId w:val="1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Interaction Checks:</w:t>
      </w:r>
      <w:r w:rsidDel="00000000" w:rsidR="00000000" w:rsidRPr="00000000">
        <w:rPr>
          <w:rFonts w:ascii="Google Sans Text" w:cs="Google Sans Text" w:eastAsia="Google Sans Text" w:hAnsi="Google Sans Text"/>
          <w:color w:val="1f1f1f"/>
          <w:rtl w:val="0"/>
        </w:rPr>
        <w:t xml:space="preserve"> Routinely ask about herbal supplement use.</w:t>
      </w:r>
    </w:p>
    <w:p w:rsidR="00000000" w:rsidDel="00000000" w:rsidP="00000000" w:rsidRDefault="00000000" w:rsidRPr="00000000" w14:paraId="000000F5">
      <w:pPr>
        <w:widowControl w:val="0"/>
        <w:numPr>
          <w:ilvl w:val="0"/>
          <w:numId w:val="1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Financial Counseling:</w:t>
      </w:r>
      <w:r w:rsidDel="00000000" w:rsidR="00000000" w:rsidRPr="00000000">
        <w:rPr>
          <w:rFonts w:ascii="Google Sans Text" w:cs="Google Sans Text" w:eastAsia="Google Sans Text" w:hAnsi="Google Sans Text"/>
          <w:color w:val="1f1f1f"/>
          <w:rtl w:val="0"/>
        </w:rPr>
        <w:t xml:space="preserve"> Proactively offer Jan Aushadhi alternatives to patients struggling with cost.</w:t>
      </w:r>
    </w:p>
    <w:p w:rsidR="00000000" w:rsidDel="00000000" w:rsidP="00000000" w:rsidRDefault="00000000" w:rsidRPr="00000000" w14:paraId="000000F6">
      <w:pPr>
        <w:widowControl w:val="0"/>
        <w:numPr>
          <w:ilvl w:val="0"/>
          <w:numId w:val="18"/>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Storage Education:</w:t>
      </w:r>
      <w:r w:rsidDel="00000000" w:rsidR="00000000" w:rsidRPr="00000000">
        <w:rPr>
          <w:rFonts w:ascii="Google Sans Text" w:cs="Google Sans Text" w:eastAsia="Google Sans Text" w:hAnsi="Google Sans Text"/>
          <w:color w:val="1f1f1f"/>
          <w:rtl w:val="0"/>
        </w:rPr>
        <w:t xml:space="preserve"> Teach patients about heat stability and clay pot storage methods.</w:t>
      </w:r>
    </w:p>
    <w:p w:rsidR="00000000" w:rsidDel="00000000" w:rsidP="00000000" w:rsidRDefault="00000000" w:rsidRPr="00000000" w14:paraId="000000F7">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10.2 Home Monitoring for Families</w:t>
      </w:r>
    </w:p>
    <w:p w:rsidR="00000000" w:rsidDel="00000000" w:rsidP="00000000" w:rsidRDefault="00000000" w:rsidRPr="00000000" w14:paraId="000000F8">
      <w:pPr>
        <w:widowControl w:val="0"/>
        <w:numPr>
          <w:ilvl w:val="0"/>
          <w:numId w:val="2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Blood Pressure:</w:t>
      </w:r>
      <w:r w:rsidDel="00000000" w:rsidR="00000000" w:rsidRPr="00000000">
        <w:rPr>
          <w:rFonts w:ascii="Google Sans Text" w:cs="Google Sans Text" w:eastAsia="Google Sans Text" w:hAnsi="Google Sans Text"/>
          <w:color w:val="1f1f1f"/>
          <w:rtl w:val="0"/>
        </w:rPr>
        <w:t xml:space="preserve"> Use validated automated devices (e.g., Omron HEM-7120). Measure at the same time daily.</w:t>
      </w:r>
    </w:p>
    <w:p w:rsidR="00000000" w:rsidDel="00000000" w:rsidP="00000000" w:rsidRDefault="00000000" w:rsidRPr="00000000" w14:paraId="000000F9">
      <w:pPr>
        <w:widowControl w:val="0"/>
        <w:numPr>
          <w:ilvl w:val="0"/>
          <w:numId w:val="2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Emergency Recognition:</w:t>
      </w:r>
      <w:r w:rsidDel="00000000" w:rsidR="00000000" w:rsidRPr="00000000">
        <w:rPr>
          <w:rFonts w:ascii="Google Sans Text" w:cs="Google Sans Text" w:eastAsia="Google Sans Text" w:hAnsi="Google Sans Text"/>
          <w:color w:val="1f1f1f"/>
          <w:rtl w:val="0"/>
        </w:rPr>
        <w:t xml:space="preserve"> Families must be taught to recognize the signs of heart attack (which may be atypical in women) and stroke. The "Time is Muscle" concept emphasizes that delayed treatment leads to permanent damage.</w:t>
      </w:r>
    </w:p>
    <w:p w:rsidR="00000000" w:rsidDel="00000000" w:rsidP="00000000" w:rsidRDefault="00000000" w:rsidRPr="00000000" w14:paraId="000000FA">
      <w:pPr>
        <w:pStyle w:val="Heading2"/>
        <w:keepNext w:val="0"/>
        <w:keepLines w:val="0"/>
        <w:widowControl w:val="0"/>
        <w:spacing w:before="24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11. Conclusion</w:t>
      </w:r>
    </w:p>
    <w:p w:rsidR="00000000" w:rsidDel="00000000" w:rsidP="00000000" w:rsidRDefault="00000000" w:rsidRPr="00000000" w14:paraId="000000FB">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management of cardiovascular disease in India requires a paradigm shift. It demands a move away from a "one-size-fits-all" Western model to one that is sensitive to the biological realities of Indian women, the economic constraints of Indian families, and the cultural context of Indian life. From the high-tech catheterization lab to the low-tech clay pot cooler, and from the latest biologic drugs to the humble Jan Aushadhi generic, every tool must be utilized.</w:t>
      </w:r>
    </w:p>
    <w:p w:rsidR="00000000" w:rsidDel="00000000" w:rsidP="00000000" w:rsidRDefault="00000000" w:rsidRPr="00000000" w14:paraId="000000FC">
      <w:pPr>
        <w:widowControl w:val="0"/>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empowering adolescents with knowledge about RHD and PCOS, monitoring pregnant women through the "fourth trimester," respecting the physiological impact of fasting, and leveraging the trusted position of the pharmacist, India can build a cardiac care system that is robust, equitable, and effective. The synthesis of advanced pharmacotherapy with deep socio-cultural insight is the key to conquering India's heart disease epidemic.</w:t>
      </w:r>
    </w:p>
    <w:p w:rsidR="00000000" w:rsidDel="00000000" w:rsidP="00000000" w:rsidRDefault="00000000" w:rsidRPr="00000000" w14:paraId="000000FD">
      <w:pPr>
        <w:pStyle w:val="Heading4"/>
        <w:keepNext w:val="0"/>
        <w:keepLines w:val="0"/>
        <w:widowControl w:val="0"/>
        <w:spacing w:after="255"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Works cited</w:t>
      </w:r>
    </w:p>
    <w:p w:rsidR="00000000" w:rsidDel="00000000" w:rsidP="00000000" w:rsidRDefault="00000000" w:rsidRPr="00000000" w14:paraId="000000FE">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Gender and CVD- Does It Really Matters? - PubMed, accessed on January 31, 2026, </w:t>
      </w:r>
      <w:hyperlink r:id="rId6">
        <w:r w:rsidDel="00000000" w:rsidR="00000000" w:rsidRPr="00000000">
          <w:rPr>
            <w:rFonts w:ascii="Google Sans" w:cs="Google Sans" w:eastAsia="Google Sans" w:hAnsi="Google Sans"/>
            <w:color w:val="0000ee"/>
            <w:sz w:val="24"/>
            <w:szCs w:val="24"/>
            <w:u w:val="single"/>
            <w:rtl w:val="0"/>
          </w:rPr>
          <w:t xml:space="preserve">https://pubmed.ncbi.nlm.nih.gov/36690310/</w:t>
        </w:r>
      </w:hyperlink>
      <w:r w:rsidDel="00000000" w:rsidR="00000000" w:rsidRPr="00000000">
        <w:rPr>
          <w:rtl w:val="0"/>
        </w:rPr>
      </w:r>
    </w:p>
    <w:p w:rsidR="00000000" w:rsidDel="00000000" w:rsidP="00000000" w:rsidRDefault="00000000" w:rsidRPr="00000000" w14:paraId="000000FF">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Inclusive research: Women left out of drug research, clinical trials, ETHealthworld, accessed on January 31, 2026, </w:t>
      </w:r>
      <w:hyperlink r:id="rId7">
        <w:r w:rsidDel="00000000" w:rsidR="00000000" w:rsidRPr="00000000">
          <w:rPr>
            <w:rFonts w:ascii="Google Sans" w:cs="Google Sans" w:eastAsia="Google Sans" w:hAnsi="Google Sans"/>
            <w:color w:val="0000ee"/>
            <w:sz w:val="24"/>
            <w:szCs w:val="24"/>
            <w:u w:val="single"/>
            <w:rtl w:val="0"/>
          </w:rPr>
          <w:t xml:space="preserve">https://health.economictimes.indiatimes.com/news/industry/inclusive-research-women-left-out-of-drug-research-clinical-trials/104685037</w:t>
        </w:r>
      </w:hyperlink>
      <w:r w:rsidDel="00000000" w:rsidR="00000000" w:rsidRPr="00000000">
        <w:rPr>
          <w:rtl w:val="0"/>
        </w:rPr>
      </w:r>
    </w:p>
    <w:p w:rsidR="00000000" w:rsidDel="00000000" w:rsidP="00000000" w:rsidRDefault="00000000" w:rsidRPr="00000000" w14:paraId="00000100">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Gender differences in the effect of cardiovascular drugs - Portail Vasculaire, accessed on January 31, 2026, </w:t>
      </w:r>
      <w:hyperlink r:id="rId8">
        <w:r w:rsidDel="00000000" w:rsidR="00000000" w:rsidRPr="00000000">
          <w:rPr>
            <w:rFonts w:ascii="Google Sans" w:cs="Google Sans" w:eastAsia="Google Sans" w:hAnsi="Google Sans"/>
            <w:color w:val="0000ee"/>
            <w:sz w:val="24"/>
            <w:szCs w:val="24"/>
            <w:u w:val="single"/>
            <w:rtl w:val="0"/>
          </w:rPr>
          <w:t xml:space="preserve">https://www.portailvasculaire.fr/sites/default/files/docs/2023_esc_rosano_gmc_traitements_cardiovasculaires_genre_ehj.pdf</w:t>
        </w:r>
      </w:hyperlink>
      <w:r w:rsidDel="00000000" w:rsidR="00000000" w:rsidRPr="00000000">
        <w:rPr>
          <w:rtl w:val="0"/>
        </w:rPr>
      </w:r>
    </w:p>
    <w:p w:rsidR="00000000" w:rsidDel="00000000" w:rsidP="00000000" w:rsidRDefault="00000000" w:rsidRPr="00000000" w14:paraId="00000101">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Gender Differences and Cardiovascular Drugs | Ten Points to Remember, accessed on January 31, 2026, </w:t>
      </w:r>
      <w:hyperlink r:id="rId9">
        <w:r w:rsidDel="00000000" w:rsidR="00000000" w:rsidRPr="00000000">
          <w:rPr>
            <w:rFonts w:ascii="Google Sans" w:cs="Google Sans" w:eastAsia="Google Sans" w:hAnsi="Google Sans"/>
            <w:color w:val="0000ee"/>
            <w:sz w:val="24"/>
            <w:szCs w:val="24"/>
            <w:u w:val="single"/>
            <w:rtl w:val="0"/>
          </w:rPr>
          <w:t xml:space="preserve">https://www.acc.org/latest-in-cardiology/ten-points-to-remember/2015/05/15/13/28/gender-differences-in-the-effect-of-cardiovascular-drugs</w:t>
        </w:r>
      </w:hyperlink>
      <w:r w:rsidDel="00000000" w:rsidR="00000000" w:rsidRPr="00000000">
        <w:rPr>
          <w:rtl w:val="0"/>
        </w:rPr>
      </w:r>
    </w:p>
    <w:p w:rsidR="00000000" w:rsidDel="00000000" w:rsidP="00000000" w:rsidRDefault="00000000" w:rsidRPr="00000000" w14:paraId="00000102">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Gender Differences in Pharmacokinetics: A Perspective on Contrast Agents | ACS Pharmacology &amp; Translational Science - ACS Publications, accessed on January 31, 2026, </w:t>
      </w:r>
      <w:hyperlink r:id="rId10">
        <w:r w:rsidDel="00000000" w:rsidR="00000000" w:rsidRPr="00000000">
          <w:rPr>
            <w:rFonts w:ascii="Google Sans" w:cs="Google Sans" w:eastAsia="Google Sans" w:hAnsi="Google Sans"/>
            <w:color w:val="0000ee"/>
            <w:sz w:val="24"/>
            <w:szCs w:val="24"/>
            <w:u w:val="single"/>
            <w:rtl w:val="0"/>
          </w:rPr>
          <w:t xml:space="preserve">https://pubs.acs.org/doi/10.1021/acsptsci.3c00116</w:t>
        </w:r>
      </w:hyperlink>
      <w:r w:rsidDel="00000000" w:rsidR="00000000" w:rsidRPr="00000000">
        <w:rPr>
          <w:rtl w:val="0"/>
        </w:rPr>
      </w:r>
    </w:p>
    <w:p w:rsidR="00000000" w:rsidDel="00000000" w:rsidP="00000000" w:rsidRDefault="00000000" w:rsidRPr="00000000" w14:paraId="00000103">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Prevalence of rheumatic heart disease among school children of Patna District in Eastern India and an insight into its prevention - ResearchGate, accessed on January 31,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https://www.researchgate.net/publication/397030166_Prevalence_of_rheumatic_heart_disease_among_school_children_of_Patna_District_in_Eastern_India_and_an_insight_into_its_prevention</w:t>
        </w:r>
      </w:hyperlink>
      <w:r w:rsidDel="00000000" w:rsidR="00000000" w:rsidRPr="00000000">
        <w:rPr>
          <w:rtl w:val="0"/>
        </w:rPr>
      </w:r>
    </w:p>
    <w:p w:rsidR="00000000" w:rsidDel="00000000" w:rsidP="00000000" w:rsidRDefault="00000000" w:rsidRPr="00000000" w14:paraId="00000104">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Prevalence of rheumatic heart disease in school going children of Meghalaya - An echocardiographic study from Northeast of India - PubMed, accessed on January 31, 2026, </w:t>
      </w:r>
      <w:hyperlink r:id="rId12">
        <w:r w:rsidDel="00000000" w:rsidR="00000000" w:rsidRPr="00000000">
          <w:rPr>
            <w:rFonts w:ascii="Google Sans" w:cs="Google Sans" w:eastAsia="Google Sans" w:hAnsi="Google Sans"/>
            <w:color w:val="0000ee"/>
            <w:sz w:val="24"/>
            <w:szCs w:val="24"/>
            <w:u w:val="single"/>
            <w:rtl w:val="0"/>
          </w:rPr>
          <w:t xml:space="preserve">https://pubmed.ncbi.nlm.nih.gov/40816640/</w:t>
        </w:r>
      </w:hyperlink>
      <w:r w:rsidDel="00000000" w:rsidR="00000000" w:rsidRPr="00000000">
        <w:rPr>
          <w:rtl w:val="0"/>
        </w:rPr>
      </w:r>
    </w:p>
    <w:p w:rsidR="00000000" w:rsidDel="00000000" w:rsidP="00000000" w:rsidRDefault="00000000" w:rsidRPr="00000000" w14:paraId="00000105">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How is juvenile rheumatic heart disease different: baseline results from a prospective north Indian registry - Oxford Academic, accessed on January 31, 2026, </w:t>
      </w:r>
      <w:hyperlink r:id="rId13">
        <w:r w:rsidDel="00000000" w:rsidR="00000000" w:rsidRPr="00000000">
          <w:rPr>
            <w:rFonts w:ascii="Google Sans" w:cs="Google Sans" w:eastAsia="Google Sans" w:hAnsi="Google Sans"/>
            <w:color w:val="0000ee"/>
            <w:sz w:val="24"/>
            <w:szCs w:val="24"/>
            <w:u w:val="single"/>
            <w:rtl w:val="0"/>
          </w:rPr>
          <w:t xml:space="preserve">https://academic.oup.com/eurheartj/article/41/Supplement_2/ehaa946.1898/6005676</w:t>
        </w:r>
      </w:hyperlink>
      <w:r w:rsidDel="00000000" w:rsidR="00000000" w:rsidRPr="00000000">
        <w:rPr>
          <w:rtl w:val="0"/>
        </w:rPr>
      </w:r>
    </w:p>
    <w:p w:rsidR="00000000" w:rsidDel="00000000" w:rsidP="00000000" w:rsidRDefault="00000000" w:rsidRPr="00000000" w14:paraId="00000106">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Cardiovascular disease risk in young Indian women with polycystic ovary syndrome - PubMed, accessed on January 31, 2026, </w:t>
      </w:r>
      <w:hyperlink r:id="rId14">
        <w:r w:rsidDel="00000000" w:rsidR="00000000" w:rsidRPr="00000000">
          <w:rPr>
            <w:rFonts w:ascii="Google Sans" w:cs="Google Sans" w:eastAsia="Google Sans" w:hAnsi="Google Sans"/>
            <w:color w:val="0000ee"/>
            <w:sz w:val="24"/>
            <w:szCs w:val="24"/>
            <w:u w:val="single"/>
            <w:rtl w:val="0"/>
          </w:rPr>
          <w:t xml:space="preserve">https://pubmed.ncbi.nlm.nih.gov/24020937/</w:t>
        </w:r>
      </w:hyperlink>
      <w:r w:rsidDel="00000000" w:rsidR="00000000" w:rsidRPr="00000000">
        <w:rPr>
          <w:rtl w:val="0"/>
        </w:rPr>
      </w:r>
    </w:p>
    <w:p w:rsidR="00000000" w:rsidDel="00000000" w:rsidP="00000000" w:rsidRDefault="00000000" w:rsidRPr="00000000" w14:paraId="00000107">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Adolescents with classical polycystic ovary syndrome have alterations in the surrogate markers of cardiovascular disease but not in the endothelial function. The possible benefits of metformin - PubMed Central, accessed on January 31,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https://pmc.ncbi.nlm.nih.gov/articles/PMC5003746/</w:t>
        </w:r>
      </w:hyperlink>
      <w:r w:rsidDel="00000000" w:rsidR="00000000" w:rsidRPr="00000000">
        <w:rPr>
          <w:rtl w:val="0"/>
        </w:rPr>
      </w:r>
    </w:p>
    <w:p w:rsidR="00000000" w:rsidDel="00000000" w:rsidP="00000000" w:rsidRDefault="00000000" w:rsidRPr="00000000" w14:paraId="00000108">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Prevalence of polycystic ovary syndromes (PCOS) in adolescent girls and young women: A questionnaire-based study, accessed on January 31, 2026, </w:t>
      </w:r>
      <w:hyperlink r:id="rId16">
        <w:r w:rsidDel="00000000" w:rsidR="00000000" w:rsidRPr="00000000">
          <w:rPr>
            <w:rFonts w:ascii="Google Sans" w:cs="Google Sans" w:eastAsia="Google Sans" w:hAnsi="Google Sans"/>
            <w:color w:val="0000ee"/>
            <w:sz w:val="24"/>
            <w:szCs w:val="24"/>
            <w:u w:val="single"/>
            <w:rtl w:val="0"/>
          </w:rPr>
          <w:t xml:space="preserve">https://ijogr.org/archive/volume/10/issue/3/article/13590</w:t>
        </w:r>
      </w:hyperlink>
      <w:r w:rsidDel="00000000" w:rsidR="00000000" w:rsidRPr="00000000">
        <w:rPr>
          <w:rtl w:val="0"/>
        </w:rPr>
      </w:r>
    </w:p>
    <w:p w:rsidR="00000000" w:rsidDel="00000000" w:rsidP="00000000" w:rsidRDefault="00000000" w:rsidRPr="00000000" w14:paraId="00000109">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Risk of Cardiovascular Diseases Associated with PCOS in India: A Review, accessed on January 31, 2026, </w:t>
      </w:r>
      <w:hyperlink r:id="rId17">
        <w:r w:rsidDel="00000000" w:rsidR="00000000" w:rsidRPr="00000000">
          <w:rPr>
            <w:rFonts w:ascii="Google Sans" w:cs="Google Sans" w:eastAsia="Google Sans" w:hAnsi="Google Sans"/>
            <w:color w:val="0000ee"/>
            <w:sz w:val="24"/>
            <w:szCs w:val="24"/>
            <w:u w:val="single"/>
            <w:rtl w:val="0"/>
          </w:rPr>
          <w:t xml:space="preserve">https://www.benthamdirect.com/content/journals/ccr/10.2174/011573403X349035250408050637</w:t>
        </w:r>
      </w:hyperlink>
      <w:r w:rsidDel="00000000" w:rsidR="00000000" w:rsidRPr="00000000">
        <w:rPr>
          <w:rtl w:val="0"/>
        </w:rPr>
      </w:r>
    </w:p>
    <w:p w:rsidR="00000000" w:rsidDel="00000000" w:rsidP="00000000" w:rsidRDefault="00000000" w:rsidRPr="00000000" w14:paraId="0000010A">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Hypertensive Disorders in Pregnancy (HDP) - fogsi, accessed on January 31, 2026, </w:t>
      </w:r>
      <w:hyperlink r:id="rId18">
        <w:r w:rsidDel="00000000" w:rsidR="00000000" w:rsidRPr="00000000">
          <w:rPr>
            <w:rFonts w:ascii="Google Sans" w:cs="Google Sans" w:eastAsia="Google Sans" w:hAnsi="Google Sans"/>
            <w:color w:val="0000ee"/>
            <w:sz w:val="24"/>
            <w:szCs w:val="24"/>
            <w:u w:val="single"/>
            <w:rtl w:val="0"/>
          </w:rPr>
          <w:t xml:space="preserve">https://www.fogsi.org/wp-content/uploads/2026/01/Hypertensive-Disorders-in-Pregnancy-Final-pdf.pdf</w:t>
        </w:r>
      </w:hyperlink>
      <w:r w:rsidDel="00000000" w:rsidR="00000000" w:rsidRPr="00000000">
        <w:rPr>
          <w:rtl w:val="0"/>
        </w:rPr>
      </w:r>
    </w:p>
    <w:p w:rsidR="00000000" w:rsidDel="00000000" w:rsidP="00000000" w:rsidRDefault="00000000" w:rsidRPr="00000000" w14:paraId="0000010B">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Best Practices for Managing Postpartum Hypertension - PMC - NIH, accessed on January 31,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https://pmc.ncbi.nlm.nih.gov/articles/PMC9207847/</w:t>
        </w:r>
      </w:hyperlink>
      <w:r w:rsidDel="00000000" w:rsidR="00000000" w:rsidRPr="00000000">
        <w:rPr>
          <w:rtl w:val="0"/>
        </w:rPr>
      </w:r>
    </w:p>
    <w:p w:rsidR="00000000" w:rsidDel="00000000" w:rsidP="00000000" w:rsidRDefault="00000000" w:rsidRPr="00000000" w14:paraId="0000010C">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Hypertensive Disorders Of Pregnancy (HDP) | Fogsi, accessed on January 31, 2026, </w:t>
      </w:r>
      <w:hyperlink r:id="rId20">
        <w:r w:rsidDel="00000000" w:rsidR="00000000" w:rsidRPr="00000000">
          <w:rPr>
            <w:rFonts w:ascii="Google Sans" w:cs="Google Sans" w:eastAsia="Google Sans" w:hAnsi="Google Sans"/>
            <w:color w:val="0000ee"/>
            <w:sz w:val="24"/>
            <w:szCs w:val="24"/>
            <w:u w:val="single"/>
            <w:rtl w:val="0"/>
          </w:rPr>
          <w:t xml:space="preserve">https://www.fogsi.org/wp-content/uploads/2015/11/hdp.pdf</w:t>
        </w:r>
      </w:hyperlink>
      <w:r w:rsidDel="00000000" w:rsidR="00000000" w:rsidRPr="00000000">
        <w:rPr>
          <w:rtl w:val="0"/>
        </w:rPr>
      </w:r>
    </w:p>
    <w:p w:rsidR="00000000" w:rsidDel="00000000" w:rsidP="00000000" w:rsidRDefault="00000000" w:rsidRPr="00000000" w14:paraId="0000010D">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FOGSI-GESTOSIS-ICOG Good Clinical Practice Recommendations 2019 - ICOGONLINE, accessed on January 31, 2026, </w:t>
      </w:r>
      <w:hyperlink r:id="rId21">
        <w:r w:rsidDel="00000000" w:rsidR="00000000" w:rsidRPr="00000000">
          <w:rPr>
            <w:rFonts w:ascii="Google Sans" w:cs="Google Sans" w:eastAsia="Google Sans" w:hAnsi="Google Sans"/>
            <w:color w:val="0000ee"/>
            <w:sz w:val="24"/>
            <w:szCs w:val="24"/>
            <w:u w:val="single"/>
            <w:rtl w:val="0"/>
          </w:rPr>
          <w:t xml:space="preserve">https://icogonline.org/wp-content/uploads/pdf/gcpr/hdp_fogsi_gestosis_icog_gcpr_2019.pdf</w:t>
        </w:r>
      </w:hyperlink>
      <w:r w:rsidDel="00000000" w:rsidR="00000000" w:rsidRPr="00000000">
        <w:rPr>
          <w:rtl w:val="0"/>
        </w:rPr>
      </w:r>
    </w:p>
    <w:p w:rsidR="00000000" w:rsidDel="00000000" w:rsidP="00000000" w:rsidRDefault="00000000" w:rsidRPr="00000000" w14:paraId="0000010E">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Society for Maternal-Fetal Medicine Special Statement: Checklist for postpartum discharge of women with hypertensive disorders - Amazon S3, accessed on January 31, 2026, </w:t>
      </w:r>
      <w:hyperlink r:id="rId22">
        <w:r w:rsidDel="00000000" w:rsidR="00000000" w:rsidRPr="00000000">
          <w:rPr>
            <w:rFonts w:ascii="Google Sans" w:cs="Google Sans" w:eastAsia="Google Sans" w:hAnsi="Google Sans"/>
            <w:color w:val="0000ee"/>
            <w:sz w:val="24"/>
            <w:szCs w:val="24"/>
            <w:u w:val="single"/>
            <w:rtl w:val="0"/>
          </w:rPr>
          <w:t xml:space="preserve">https://s3.amazonaws.com/cdn.smfm.org/attachments/818/b8d458a5f777f5295a37dc7adf4a72c0.pdf</w:t>
        </w:r>
      </w:hyperlink>
      <w:r w:rsidDel="00000000" w:rsidR="00000000" w:rsidRPr="00000000">
        <w:rPr>
          <w:rtl w:val="0"/>
        </w:rPr>
      </w:r>
    </w:p>
    <w:p w:rsidR="00000000" w:rsidDel="00000000" w:rsidP="00000000" w:rsidRDefault="00000000" w:rsidRPr="00000000" w14:paraId="0000010F">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Postpartum remote home blood pressure monitoring: the new frontier - PMC - NIH, accessed on January 31,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https://pmc.ncbi.nlm.nih.gov/articles/PMC10407242/</w:t>
        </w:r>
      </w:hyperlink>
      <w:r w:rsidDel="00000000" w:rsidR="00000000" w:rsidRPr="00000000">
        <w:rPr>
          <w:rtl w:val="0"/>
        </w:rPr>
      </w:r>
    </w:p>
    <w:p w:rsidR="00000000" w:rsidDel="00000000" w:rsidP="00000000" w:rsidRDefault="00000000" w:rsidRPr="00000000" w14:paraId="00000110">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Postpartum hypertension: When a new mom's blood pressure is too high | Heart | Your Pregnancy Matters | UT Southwestern Medical Center, accessed on January 31, 2026, </w:t>
      </w:r>
      <w:hyperlink r:id="rId24">
        <w:r w:rsidDel="00000000" w:rsidR="00000000" w:rsidRPr="00000000">
          <w:rPr>
            <w:rFonts w:ascii="Google Sans" w:cs="Google Sans" w:eastAsia="Google Sans" w:hAnsi="Google Sans"/>
            <w:color w:val="0000ee"/>
            <w:sz w:val="24"/>
            <w:szCs w:val="24"/>
            <w:u w:val="single"/>
            <w:rtl w:val="0"/>
          </w:rPr>
          <w:t xml:space="preserve">https://utswmed.org/medblog/postpartum-high-blood-pressure/</w:t>
        </w:r>
      </w:hyperlink>
      <w:r w:rsidDel="00000000" w:rsidR="00000000" w:rsidRPr="00000000">
        <w:rPr>
          <w:rtl w:val="0"/>
        </w:rPr>
      </w:r>
    </w:p>
    <w:p w:rsidR="00000000" w:rsidDel="00000000" w:rsidP="00000000" w:rsidRDefault="00000000" w:rsidRPr="00000000" w14:paraId="00000111">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High blood pressure &amp; preeclampsia | The Royal Women's Hospital, accessed on January 31, 2026, </w:t>
      </w:r>
      <w:hyperlink r:id="rId25">
        <w:r w:rsidDel="00000000" w:rsidR="00000000" w:rsidRPr="00000000">
          <w:rPr>
            <w:rFonts w:ascii="Google Sans" w:cs="Google Sans" w:eastAsia="Google Sans" w:hAnsi="Google Sans"/>
            <w:color w:val="0000ee"/>
            <w:sz w:val="24"/>
            <w:szCs w:val="24"/>
            <w:u w:val="single"/>
            <w:rtl w:val="0"/>
          </w:rPr>
          <w:t xml:space="preserve">https://www.thewomens.org.au/health-information/pregnancy-and-birth/pregnancy-problems/pregnancy-problems-in-later-pregnancy/preeclampsia</w:t>
        </w:r>
      </w:hyperlink>
      <w:r w:rsidDel="00000000" w:rsidR="00000000" w:rsidRPr="00000000">
        <w:rPr>
          <w:rtl w:val="0"/>
        </w:rPr>
      </w:r>
    </w:p>
    <w:p w:rsidR="00000000" w:rsidDel="00000000" w:rsidP="00000000" w:rsidRDefault="00000000" w:rsidRPr="00000000" w14:paraId="00000112">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Is Hormone Therapy Good for Heart Health? - The Menopause Society, accessed on January 31, 2026, </w:t>
      </w:r>
      <w:hyperlink r:id="rId26">
        <w:r w:rsidDel="00000000" w:rsidR="00000000" w:rsidRPr="00000000">
          <w:rPr>
            <w:rFonts w:ascii="Google Sans" w:cs="Google Sans" w:eastAsia="Google Sans" w:hAnsi="Google Sans"/>
            <w:color w:val="0000ee"/>
            <w:sz w:val="24"/>
            <w:szCs w:val="24"/>
            <w:u w:val="single"/>
            <w:rtl w:val="0"/>
          </w:rPr>
          <w:t xml:space="preserve">https://menopause.org/press-releases/is-hormone-therapy-good-for-heart-health</w:t>
        </w:r>
      </w:hyperlink>
      <w:r w:rsidDel="00000000" w:rsidR="00000000" w:rsidRPr="00000000">
        <w:rPr>
          <w:rtl w:val="0"/>
        </w:rPr>
      </w:r>
    </w:p>
    <w:p w:rsidR="00000000" w:rsidDel="00000000" w:rsidP="00000000" w:rsidRDefault="00000000" w:rsidRPr="00000000" w14:paraId="00000113">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Statin Therapy in Indian Women with Dyslipidemia: Myths, Evidence, Adherence, and the Role of Nutrition, Nutraceuticals, Yoga, S, accessed on January 31, 2026, </w:t>
      </w:r>
      <w:hyperlink r:id="rId27">
        <w:r w:rsidDel="00000000" w:rsidR="00000000" w:rsidRPr="00000000">
          <w:rPr>
            <w:rFonts w:ascii="Google Sans" w:cs="Google Sans" w:eastAsia="Google Sans" w:hAnsi="Google Sans"/>
            <w:color w:val="0000ee"/>
            <w:sz w:val="24"/>
            <w:szCs w:val="24"/>
            <w:u w:val="single"/>
            <w:rtl w:val="0"/>
          </w:rPr>
          <w:t xml:space="preserve">https://ijcdw.org/?view-pdf=1&amp;embedded=true&amp;article=ce3f9e845990ab8f1ebe743a21d46824eKfrXY6xJ0Q%3D</w:t>
        </w:r>
      </w:hyperlink>
      <w:r w:rsidDel="00000000" w:rsidR="00000000" w:rsidRPr="00000000">
        <w:rPr>
          <w:rtl w:val="0"/>
        </w:rPr>
      </w:r>
    </w:p>
    <w:p w:rsidR="00000000" w:rsidDel="00000000" w:rsidP="00000000" w:rsidRDefault="00000000" w:rsidRPr="00000000" w14:paraId="00000114">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Statin Therapy in Indian Women with Dyslipidemia: Myths, Evidence, Adherence, and the Role of Nutrition, Nutraceuticals, Yoga, Stress Management, and Mental Health in Lipid Control - ResearchGate, accessed on January 31,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https://www.researchgate.net/publication/399141283_Statin_Therapy_in_Indian_Women_with_Dyslipidemia_Myths_Evidence_Adherence_and_the_Role_of_Nutrition_Nutraceuticals_Yoga_Stress_Management_and_Mental_Health_in_Lipid_Control</w:t>
        </w:r>
      </w:hyperlink>
      <w:r w:rsidDel="00000000" w:rsidR="00000000" w:rsidRPr="00000000">
        <w:rPr>
          <w:rtl w:val="0"/>
        </w:rPr>
      </w:r>
    </w:p>
    <w:p w:rsidR="00000000" w:rsidDel="00000000" w:rsidP="00000000" w:rsidRDefault="00000000" w:rsidRPr="00000000" w14:paraId="00000115">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Guideline Number 10 : February 2011 Hormone Therapy and Cardiovascular Disease Introduction - Indian Menopause Society, accessed on January 31, 2026, </w:t>
      </w:r>
      <w:hyperlink r:id="rId29">
        <w:r w:rsidDel="00000000" w:rsidR="00000000" w:rsidRPr="00000000">
          <w:rPr>
            <w:rFonts w:ascii="Google Sans" w:cs="Google Sans" w:eastAsia="Google Sans" w:hAnsi="Google Sans"/>
            <w:color w:val="0000ee"/>
            <w:sz w:val="24"/>
            <w:szCs w:val="24"/>
            <w:u w:val="single"/>
            <w:rtl w:val="0"/>
          </w:rPr>
          <w:t xml:space="preserve">https://indianmenopausesociety.org/assets/pdf/gynaecologist/archives/Hormone_Therapy_and_Cardiovascular_Disease.pdf</w:t>
        </w:r>
      </w:hyperlink>
      <w:r w:rsidDel="00000000" w:rsidR="00000000" w:rsidRPr="00000000">
        <w:rPr>
          <w:rtl w:val="0"/>
        </w:rPr>
      </w:r>
    </w:p>
    <w:p w:rsidR="00000000" w:rsidDel="00000000" w:rsidP="00000000" w:rsidRDefault="00000000" w:rsidRPr="00000000" w14:paraId="00000116">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A case report: pitfalls in antibacterial therapy with rifampicin for mechanical valve endocarditis—the king of drug interactions - PMC - PubMed Central, accessed on January 31,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https://pmc.ncbi.nlm.nih.gov/articles/PMC11498049/</w:t>
        </w:r>
      </w:hyperlink>
      <w:r w:rsidDel="00000000" w:rsidR="00000000" w:rsidRPr="00000000">
        <w:rPr>
          <w:rtl w:val="0"/>
        </w:rPr>
      </w:r>
    </w:p>
    <w:p w:rsidR="00000000" w:rsidDel="00000000" w:rsidP="00000000" w:rsidRDefault="00000000" w:rsidRPr="00000000" w14:paraId="00000117">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Rifampicin and anti-hypertensive drugs in chronic kidney disease: Pharmacokinetic interactions and their clinical impact - NIH, accessed on January 31,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https://pmc.ncbi.nlm.nih.gov/articles/PMC5015508/</w:t>
        </w:r>
      </w:hyperlink>
      <w:r w:rsidDel="00000000" w:rsidR="00000000" w:rsidRPr="00000000">
        <w:rPr>
          <w:rtl w:val="0"/>
        </w:rPr>
      </w:r>
    </w:p>
    <w:p w:rsidR="00000000" w:rsidDel="00000000" w:rsidP="00000000" w:rsidRDefault="00000000" w:rsidRPr="00000000" w14:paraId="00000118">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Nonsteroidal Anti‐inflammatory Drugs and Risk of Incident Heart Failure: A Systematic Review and Meta‐analysis of Observational Studies - NIH, accessed on January 31,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https://pmc.ncbi.nlm.nih.gov/articles/PMC6490752/</w:t>
        </w:r>
      </w:hyperlink>
      <w:r w:rsidDel="00000000" w:rsidR="00000000" w:rsidRPr="00000000">
        <w:rPr>
          <w:rtl w:val="0"/>
        </w:rPr>
      </w:r>
    </w:p>
    <w:p w:rsidR="00000000" w:rsidDel="00000000" w:rsidP="00000000" w:rsidRDefault="00000000" w:rsidRPr="00000000" w14:paraId="00000119">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Common painkillers can increase the risk of repeated heart attacks: Study | - Times of India, accessed on January 31, 2026, </w:t>
      </w:r>
      <w:hyperlink r:id="rId33">
        <w:r w:rsidDel="00000000" w:rsidR="00000000" w:rsidRPr="00000000">
          <w:rPr>
            <w:rFonts w:ascii="Google Sans" w:cs="Google Sans" w:eastAsia="Google Sans" w:hAnsi="Google Sans"/>
            <w:color w:val="0000ee"/>
            <w:sz w:val="24"/>
            <w:szCs w:val="24"/>
            <w:u w:val="single"/>
            <w:rtl w:val="0"/>
          </w:rPr>
          <w:t xml:space="preserve">https://timesofindia.indiatimes.com/life-style/health-fitness/health-news/common-painkillers-can-increase-the-risk-of-repeated-heart-attacks-study/articleshow/123406393.cms</w:t>
        </w:r>
      </w:hyperlink>
      <w:r w:rsidDel="00000000" w:rsidR="00000000" w:rsidRPr="00000000">
        <w:rPr>
          <w:rtl w:val="0"/>
        </w:rPr>
      </w:r>
    </w:p>
    <w:p w:rsidR="00000000" w:rsidDel="00000000" w:rsidP="00000000" w:rsidRDefault="00000000" w:rsidRPr="00000000" w14:paraId="0000011A">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Combiflam Tablet: View Uses, Side Effects, Price and Substitutes | 1mg, accessed on January 31, 2026, </w:t>
      </w:r>
      <w:hyperlink r:id="rId34">
        <w:r w:rsidDel="00000000" w:rsidR="00000000" w:rsidRPr="00000000">
          <w:rPr>
            <w:rFonts w:ascii="Google Sans" w:cs="Google Sans" w:eastAsia="Google Sans" w:hAnsi="Google Sans"/>
            <w:color w:val="0000ee"/>
            <w:sz w:val="24"/>
            <w:szCs w:val="24"/>
            <w:u w:val="single"/>
            <w:rtl w:val="0"/>
          </w:rPr>
          <w:t xml:space="preserve">https://www.1mg.com/drugs/combiflam-tablet-325414</w:t>
        </w:r>
      </w:hyperlink>
      <w:r w:rsidDel="00000000" w:rsidR="00000000" w:rsidRPr="00000000">
        <w:rPr>
          <w:rtl w:val="0"/>
        </w:rPr>
      </w:r>
    </w:p>
    <w:p w:rsidR="00000000" w:rsidDel="00000000" w:rsidP="00000000" w:rsidRDefault="00000000" w:rsidRPr="00000000" w14:paraId="0000011B">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Meftal Spas vs. Other Pain Relievers: Which Is Right for You? - eHealth Magazine, accessed on January 31, 2026, </w:t>
      </w:r>
      <w:hyperlink r:id="rId35">
        <w:r w:rsidDel="00000000" w:rsidR="00000000" w:rsidRPr="00000000">
          <w:rPr>
            <w:rFonts w:ascii="Google Sans" w:cs="Google Sans" w:eastAsia="Google Sans" w:hAnsi="Google Sans"/>
            <w:color w:val="0000ee"/>
            <w:sz w:val="24"/>
            <w:szCs w:val="24"/>
            <w:u w:val="single"/>
            <w:rtl w:val="0"/>
          </w:rPr>
          <w:t xml:space="preserve">https://ehealth.eletsonline.com/2024/05/meftal-spas-vs-other-pain-relievers-which-is-right-for-you/</w:t>
        </w:r>
      </w:hyperlink>
      <w:r w:rsidDel="00000000" w:rsidR="00000000" w:rsidRPr="00000000">
        <w:rPr>
          <w:rtl w:val="0"/>
        </w:rPr>
      </w:r>
    </w:p>
    <w:p w:rsidR="00000000" w:rsidDel="00000000" w:rsidP="00000000" w:rsidRDefault="00000000" w:rsidRPr="00000000" w14:paraId="0000011C">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Turmeric: potential interactions - Welsh Medicines Advice Service, accessed on January 31, 2026, </w:t>
      </w:r>
      <w:hyperlink r:id="rId36">
        <w:r w:rsidDel="00000000" w:rsidR="00000000" w:rsidRPr="00000000">
          <w:rPr>
            <w:rFonts w:ascii="Google Sans" w:cs="Google Sans" w:eastAsia="Google Sans" w:hAnsi="Google Sans"/>
            <w:color w:val="0000ee"/>
            <w:sz w:val="24"/>
            <w:szCs w:val="24"/>
            <w:u w:val="single"/>
            <w:rtl w:val="0"/>
          </w:rPr>
          <w:t xml:space="preserve">https://www.wmic.wales.nhs.uk/turmeric-potential-interactions/</w:t>
        </w:r>
      </w:hyperlink>
      <w:r w:rsidDel="00000000" w:rsidR="00000000" w:rsidRPr="00000000">
        <w:rPr>
          <w:rtl w:val="0"/>
        </w:rPr>
      </w:r>
    </w:p>
    <w:p w:rsidR="00000000" w:rsidDel="00000000" w:rsidP="00000000" w:rsidRDefault="00000000" w:rsidRPr="00000000" w14:paraId="0000011D">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Beware turmeric/curcumin containing products can interact with warfarin - Medsafe, accessed on January 31, 2026, </w:t>
      </w:r>
      <w:hyperlink r:id="rId37">
        <w:r w:rsidDel="00000000" w:rsidR="00000000" w:rsidRPr="00000000">
          <w:rPr>
            <w:rFonts w:ascii="Google Sans" w:cs="Google Sans" w:eastAsia="Google Sans" w:hAnsi="Google Sans"/>
            <w:color w:val="0000ee"/>
            <w:sz w:val="24"/>
            <w:szCs w:val="24"/>
            <w:u w:val="single"/>
            <w:rtl w:val="0"/>
          </w:rPr>
          <w:t xml:space="preserve">https://medsafe.govt.nz/safety/ews/2018/Turmeric.asp</w:t>
        </w:r>
      </w:hyperlink>
      <w:r w:rsidDel="00000000" w:rsidR="00000000" w:rsidRPr="00000000">
        <w:rPr>
          <w:rtl w:val="0"/>
        </w:rPr>
      </w:r>
    </w:p>
    <w:p w:rsidR="00000000" w:rsidDel="00000000" w:rsidP="00000000" w:rsidRDefault="00000000" w:rsidRPr="00000000" w14:paraId="0000011E">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Updates on the Clinical Evidenced Herb-Warfarin Interactions - PMC - PubMed Central, accessed on January 31,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https://pmc.ncbi.nlm.nih.gov/articles/PMC3976951/</w:t>
        </w:r>
      </w:hyperlink>
      <w:r w:rsidDel="00000000" w:rsidR="00000000" w:rsidRPr="00000000">
        <w:rPr>
          <w:rtl w:val="0"/>
        </w:rPr>
      </w:r>
    </w:p>
    <w:p w:rsidR="00000000" w:rsidDel="00000000" w:rsidP="00000000" w:rsidRDefault="00000000" w:rsidRPr="00000000" w14:paraId="0000011F">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Pharmacokinetic and Pharmacodynamic Interactions between Food or Herbal Products and Oral Anticoagulants, accessed on January 31, 2026, </w:t>
      </w:r>
      <w:hyperlink r:id="rId39">
        <w:r w:rsidDel="00000000" w:rsidR="00000000" w:rsidRPr="00000000">
          <w:rPr>
            <w:rFonts w:ascii="Google Sans" w:cs="Google Sans" w:eastAsia="Google Sans" w:hAnsi="Google Sans"/>
            <w:color w:val="0000ee"/>
            <w:sz w:val="24"/>
            <w:szCs w:val="24"/>
            <w:u w:val="single"/>
            <w:rtl w:val="0"/>
          </w:rPr>
          <w:t xml:space="preserve">https://acforum.org/web/resource_files/1741959009-1012.pdf</w:t>
        </w:r>
      </w:hyperlink>
      <w:r w:rsidDel="00000000" w:rsidR="00000000" w:rsidRPr="00000000">
        <w:rPr>
          <w:rtl w:val="0"/>
        </w:rPr>
      </w:r>
    </w:p>
    <w:p w:rsidR="00000000" w:rsidDel="00000000" w:rsidP="00000000" w:rsidRDefault="00000000" w:rsidRPr="00000000" w14:paraId="00000120">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Cardiovascular Effects of Herbal Products and Their Interaction with Antihypertensive Drugs—Comprehensive Review - MDPI, accessed on January 31, 2026, </w:t>
      </w:r>
      <w:hyperlink r:id="rId40">
        <w:r w:rsidDel="00000000" w:rsidR="00000000" w:rsidRPr="00000000">
          <w:rPr>
            <w:rFonts w:ascii="Google Sans" w:cs="Google Sans" w:eastAsia="Google Sans" w:hAnsi="Google Sans"/>
            <w:color w:val="0000ee"/>
            <w:sz w:val="24"/>
            <w:szCs w:val="24"/>
            <w:u w:val="single"/>
            <w:rtl w:val="0"/>
          </w:rPr>
          <w:t xml:space="preserve">https://www.mdpi.com/1422-0067/25/12/6388</w:t>
        </w:r>
      </w:hyperlink>
      <w:r w:rsidDel="00000000" w:rsidR="00000000" w:rsidRPr="00000000">
        <w:rPr>
          <w:rtl w:val="0"/>
        </w:rPr>
      </w:r>
    </w:p>
    <w:p w:rsidR="00000000" w:rsidDel="00000000" w:rsidP="00000000" w:rsidRDefault="00000000" w:rsidRPr="00000000" w14:paraId="00000121">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Fenugreek: Overview, Uses, Side Effects, Precautions, Interactions, Dosing and Reviews, accessed on January 31, 2026, </w:t>
      </w:r>
      <w:hyperlink r:id="rId41">
        <w:r w:rsidDel="00000000" w:rsidR="00000000" w:rsidRPr="00000000">
          <w:rPr>
            <w:rFonts w:ascii="Google Sans" w:cs="Google Sans" w:eastAsia="Google Sans" w:hAnsi="Google Sans"/>
            <w:color w:val="0000ee"/>
            <w:sz w:val="24"/>
            <w:szCs w:val="24"/>
            <w:u w:val="single"/>
            <w:rtl w:val="0"/>
          </w:rPr>
          <w:t xml:space="preserve">https://www.webmd.com/vitamins/ai/ingredientmono-733/fenugreek</w:t>
        </w:r>
      </w:hyperlink>
      <w:r w:rsidDel="00000000" w:rsidR="00000000" w:rsidRPr="00000000">
        <w:rPr>
          <w:rtl w:val="0"/>
        </w:rPr>
      </w:r>
    </w:p>
    <w:p w:rsidR="00000000" w:rsidDel="00000000" w:rsidP="00000000" w:rsidRDefault="00000000" w:rsidRPr="00000000" w14:paraId="00000122">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Potential interaction between warfarin and boldo-fenugreek - PubMed, accessed on January 31, 2026, </w:t>
      </w:r>
      <w:hyperlink r:id="rId42">
        <w:r w:rsidDel="00000000" w:rsidR="00000000" w:rsidRPr="00000000">
          <w:rPr>
            <w:rFonts w:ascii="Google Sans" w:cs="Google Sans" w:eastAsia="Google Sans" w:hAnsi="Google Sans"/>
            <w:color w:val="0000ee"/>
            <w:sz w:val="24"/>
            <w:szCs w:val="24"/>
            <w:u w:val="single"/>
            <w:rtl w:val="0"/>
          </w:rPr>
          <w:t xml:space="preserve">https://pubmed.ncbi.nlm.nih.gov/11310527/</w:t>
        </w:r>
      </w:hyperlink>
      <w:r w:rsidDel="00000000" w:rsidR="00000000" w:rsidRPr="00000000">
        <w:rPr>
          <w:rtl w:val="0"/>
        </w:rPr>
      </w:r>
    </w:p>
    <w:p w:rsidR="00000000" w:rsidDel="00000000" w:rsidP="00000000" w:rsidRDefault="00000000" w:rsidRPr="00000000" w14:paraId="00000123">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Herbal supplements and heart medicines may not mix - Mayo Clinic, accessed on January 31, 2026, </w:t>
      </w:r>
      <w:hyperlink r:id="rId43">
        <w:r w:rsidDel="00000000" w:rsidR="00000000" w:rsidRPr="00000000">
          <w:rPr>
            <w:rFonts w:ascii="Google Sans" w:cs="Google Sans" w:eastAsia="Google Sans" w:hAnsi="Google Sans"/>
            <w:color w:val="0000ee"/>
            <w:sz w:val="24"/>
            <w:szCs w:val="24"/>
            <w:u w:val="single"/>
            <w:rtl w:val="0"/>
          </w:rPr>
          <w:t xml:space="preserve">https://www.mayoclinic.org/healthy-lifestyle/consumer-health/in-depth/herbal-supplements/art-20046488</w:t>
        </w:r>
      </w:hyperlink>
      <w:r w:rsidDel="00000000" w:rsidR="00000000" w:rsidRPr="00000000">
        <w:rPr>
          <w:rtl w:val="0"/>
        </w:rPr>
      </w:r>
    </w:p>
    <w:p w:rsidR="00000000" w:rsidDel="00000000" w:rsidP="00000000" w:rsidRDefault="00000000" w:rsidRPr="00000000" w14:paraId="00000124">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What is the shelf life of nitroglycerin tablets? - Drugs.com, accessed on January 31, 2026, </w:t>
      </w:r>
      <w:hyperlink r:id="rId44">
        <w:r w:rsidDel="00000000" w:rsidR="00000000" w:rsidRPr="00000000">
          <w:rPr>
            <w:rFonts w:ascii="Google Sans" w:cs="Google Sans" w:eastAsia="Google Sans" w:hAnsi="Google Sans"/>
            <w:color w:val="0000ee"/>
            <w:sz w:val="24"/>
            <w:szCs w:val="24"/>
            <w:u w:val="single"/>
            <w:rtl w:val="0"/>
          </w:rPr>
          <w:t xml:space="preserve">https://www.drugs.com/medical-answers/what-is-the-shelf-life-of-the-nitroglycerin-96482/</w:t>
        </w:r>
      </w:hyperlink>
      <w:r w:rsidDel="00000000" w:rsidR="00000000" w:rsidRPr="00000000">
        <w:rPr>
          <w:rtl w:val="0"/>
        </w:rPr>
      </w:r>
    </w:p>
    <w:p w:rsidR="00000000" w:rsidDel="00000000" w:rsidP="00000000" w:rsidRDefault="00000000" w:rsidRPr="00000000" w14:paraId="00000125">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Instability of nitroglycerin tablets - PubMed, accessed on January 31, 2026, </w:t>
      </w:r>
      <w:hyperlink r:id="rId45">
        <w:r w:rsidDel="00000000" w:rsidR="00000000" w:rsidRPr="00000000">
          <w:rPr>
            <w:rFonts w:ascii="Google Sans" w:cs="Google Sans" w:eastAsia="Google Sans" w:hAnsi="Google Sans"/>
            <w:color w:val="0000ee"/>
            <w:sz w:val="24"/>
            <w:szCs w:val="24"/>
            <w:u w:val="single"/>
            <w:rtl w:val="0"/>
          </w:rPr>
          <w:t xml:space="preserve">https://pubmed.ncbi.nlm.nih.gov/4207612/</w:t>
        </w:r>
      </w:hyperlink>
      <w:r w:rsidDel="00000000" w:rsidR="00000000" w:rsidRPr="00000000">
        <w:rPr>
          <w:rtl w:val="0"/>
        </w:rPr>
      </w:r>
    </w:p>
    <w:p w:rsidR="00000000" w:rsidDel="00000000" w:rsidP="00000000" w:rsidRDefault="00000000" w:rsidRPr="00000000" w14:paraId="00000126">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How to Store Insulin Without Refrigeration: Practical Tips for Resource-Limited Settings, accessed on January 31, 2026, </w:t>
      </w:r>
      <w:hyperlink r:id="rId46">
        <w:r w:rsidDel="00000000" w:rsidR="00000000" w:rsidRPr="00000000">
          <w:rPr>
            <w:rFonts w:ascii="Google Sans" w:cs="Google Sans" w:eastAsia="Google Sans" w:hAnsi="Google Sans"/>
            <w:color w:val="0000ee"/>
            <w:sz w:val="24"/>
            <w:szCs w:val="24"/>
            <w:u w:val="single"/>
            <w:rtl w:val="0"/>
          </w:rPr>
          <w:t xml:space="preserve">https://diabetes.co.in/article/how-to-store-insulin-without-refrigeration</w:t>
        </w:r>
      </w:hyperlink>
      <w:r w:rsidDel="00000000" w:rsidR="00000000" w:rsidRPr="00000000">
        <w:rPr>
          <w:rtl w:val="0"/>
        </w:rPr>
      </w:r>
    </w:p>
    <w:p w:rsidR="00000000" w:rsidDel="00000000" w:rsidP="00000000" w:rsidRDefault="00000000" w:rsidRPr="00000000" w14:paraId="00000127">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Efficacy of alternative cooling devices used for insulin storage without refrigeration under hot-humid environment - NIH, accessed on January 31,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https://pmc.ncbi.nlm.nih.gov/articles/PMC9936990/</w:t>
        </w:r>
      </w:hyperlink>
      <w:r w:rsidDel="00000000" w:rsidR="00000000" w:rsidRPr="00000000">
        <w:rPr>
          <w:rtl w:val="0"/>
        </w:rPr>
      </w:r>
    </w:p>
    <w:p w:rsidR="00000000" w:rsidDel="00000000" w:rsidP="00000000" w:rsidRDefault="00000000" w:rsidRPr="00000000" w14:paraId="00000128">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Insulin storage in hot climates without refrigeration: temperature reduction efficacy of clay pots and other techniques - PubMed, accessed on January 31, 2026, </w:t>
      </w:r>
      <w:hyperlink r:id="rId48">
        <w:r w:rsidDel="00000000" w:rsidR="00000000" w:rsidRPr="00000000">
          <w:rPr>
            <w:rFonts w:ascii="Google Sans" w:cs="Google Sans" w:eastAsia="Google Sans" w:hAnsi="Google Sans"/>
            <w:color w:val="0000ee"/>
            <w:sz w:val="24"/>
            <w:szCs w:val="24"/>
            <w:u w:val="single"/>
            <w:rtl w:val="0"/>
          </w:rPr>
          <w:t xml:space="preserve">https://pubmed.ncbi.nlm.nih.gov/27472257/</w:t>
        </w:r>
      </w:hyperlink>
      <w:r w:rsidDel="00000000" w:rsidR="00000000" w:rsidRPr="00000000">
        <w:rPr>
          <w:rtl w:val="0"/>
        </w:rPr>
      </w:r>
    </w:p>
    <w:p w:rsidR="00000000" w:rsidDel="00000000" w:rsidP="00000000" w:rsidRDefault="00000000" w:rsidRPr="00000000" w14:paraId="00000129">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Karwa Chauth Fasting For Heart Patients: Safety Tips, Risks, and Expert Advice - Times Now, accessed on January 31, 2026, </w:t>
      </w:r>
      <w:hyperlink r:id="rId49">
        <w:r w:rsidDel="00000000" w:rsidR="00000000" w:rsidRPr="00000000">
          <w:rPr>
            <w:rFonts w:ascii="Google Sans" w:cs="Google Sans" w:eastAsia="Google Sans" w:hAnsi="Google Sans"/>
            <w:color w:val="0000ee"/>
            <w:sz w:val="24"/>
            <w:szCs w:val="24"/>
            <w:u w:val="single"/>
            <w:rtl w:val="0"/>
          </w:rPr>
          <w:t xml:space="preserve">https://www.timesnownews.com/health/karwa-chauth-fasting-for-heart-patients-safety-tips-risks-and-expert-advice-article-152957348</w:t>
        </w:r>
      </w:hyperlink>
      <w:r w:rsidDel="00000000" w:rsidR="00000000" w:rsidRPr="00000000">
        <w:rPr>
          <w:rtl w:val="0"/>
        </w:rPr>
      </w:r>
    </w:p>
    <w:p w:rsidR="00000000" w:rsidDel="00000000" w:rsidP="00000000" w:rsidRDefault="00000000" w:rsidRPr="00000000" w14:paraId="0000012A">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Dehydration Risk for Heart Patients on Karwa Chauth - SAAOL Delhi, accessed on January 31, 2026, </w:t>
      </w:r>
      <w:hyperlink r:id="rId50">
        <w:r w:rsidDel="00000000" w:rsidR="00000000" w:rsidRPr="00000000">
          <w:rPr>
            <w:rFonts w:ascii="Google Sans" w:cs="Google Sans" w:eastAsia="Google Sans" w:hAnsi="Google Sans"/>
            <w:color w:val="0000ee"/>
            <w:sz w:val="24"/>
            <w:szCs w:val="24"/>
            <w:u w:val="single"/>
            <w:rtl w:val="0"/>
          </w:rPr>
          <w:t xml:space="preserve">https://www.saaoldelhi.com/blogs/karwa-chauth-and-heart-disease-understanding-the-risk-of-dehydration/</w:t>
        </w:r>
      </w:hyperlink>
      <w:r w:rsidDel="00000000" w:rsidR="00000000" w:rsidRPr="00000000">
        <w:rPr>
          <w:rtl w:val="0"/>
        </w:rPr>
      </w:r>
    </w:p>
    <w:p w:rsidR="00000000" w:rsidDel="00000000" w:rsidP="00000000" w:rsidRDefault="00000000" w:rsidRPr="00000000" w14:paraId="0000012B">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Watch Dr. Naresh Trehan's Message on #World Heart Day - YouTube, accessed on January 31, 2026, </w:t>
      </w:r>
      <w:hyperlink r:id="rId51">
        <w:r w:rsidDel="00000000" w:rsidR="00000000" w:rsidRPr="00000000">
          <w:rPr>
            <w:rFonts w:ascii="Google Sans" w:cs="Google Sans" w:eastAsia="Google Sans" w:hAnsi="Google Sans"/>
            <w:color w:val="0000ee"/>
            <w:sz w:val="24"/>
            <w:szCs w:val="24"/>
            <w:u w:val="single"/>
            <w:rtl w:val="0"/>
          </w:rPr>
          <w:t xml:space="preserve">https://www.youtube.com/watch?v=KBAoBq0TGJw</w:t>
        </w:r>
      </w:hyperlink>
      <w:r w:rsidDel="00000000" w:rsidR="00000000" w:rsidRPr="00000000">
        <w:rPr>
          <w:rtl w:val="0"/>
        </w:rPr>
      </w:r>
    </w:p>
    <w:p w:rsidR="00000000" w:rsidDel="00000000" w:rsidP="00000000" w:rsidRDefault="00000000" w:rsidRPr="00000000" w14:paraId="0000012C">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Review on the effects of fasting on cardiac patients - PMC - NIH, accessed on January 31,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https://pmc.ncbi.nlm.nih.gov/articles/PMC12495073/</w:t>
        </w:r>
      </w:hyperlink>
      <w:r w:rsidDel="00000000" w:rsidR="00000000" w:rsidRPr="00000000">
        <w:rPr>
          <w:rtl w:val="0"/>
        </w:rPr>
      </w:r>
    </w:p>
    <w:p w:rsidR="00000000" w:rsidDel="00000000" w:rsidP="00000000" w:rsidRDefault="00000000" w:rsidRPr="00000000" w14:paraId="0000012D">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“Who Will Marry a Diseased Girl?” Marriage, Gender, and Tuberculosis Stigma in Asia, accessed on January 31,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https://pmc.ncbi.nlm.nih.gov/articles/PMC7322934/</w:t>
        </w:r>
      </w:hyperlink>
      <w:r w:rsidDel="00000000" w:rsidR="00000000" w:rsidRPr="00000000">
        <w:rPr>
          <w:rtl w:val="0"/>
        </w:rPr>
      </w:r>
    </w:p>
    <w:p w:rsidR="00000000" w:rsidDel="00000000" w:rsidP="00000000" w:rsidRDefault="00000000" w:rsidRPr="00000000" w14:paraId="0000012E">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"Who Will Marry a Diseased Girl?" Marriage, Gender, and Tuberculosis Stigma in Asia - PubMed, accessed on January 31, 2026, </w:t>
      </w:r>
      <w:hyperlink r:id="rId54">
        <w:r w:rsidDel="00000000" w:rsidR="00000000" w:rsidRPr="00000000">
          <w:rPr>
            <w:rFonts w:ascii="Google Sans" w:cs="Google Sans" w:eastAsia="Google Sans" w:hAnsi="Google Sans"/>
            <w:color w:val="0000ee"/>
            <w:sz w:val="24"/>
            <w:szCs w:val="24"/>
            <w:u w:val="single"/>
            <w:rtl w:val="0"/>
          </w:rPr>
          <w:t xml:space="preserve">https://pubmed.ncbi.nlm.nih.gov/30499375/</w:t>
        </w:r>
      </w:hyperlink>
      <w:r w:rsidDel="00000000" w:rsidR="00000000" w:rsidRPr="00000000">
        <w:rPr>
          <w:rtl w:val="0"/>
        </w:rPr>
      </w:r>
    </w:p>
    <w:p w:rsidR="00000000" w:rsidDel="00000000" w:rsidP="00000000" w:rsidRDefault="00000000" w:rsidRPr="00000000" w14:paraId="0000012F">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Exploring Barriers to Medication Adherence Using COM-B Model of Behaviour Among Patients with Cardiovascular Diseases in Low- and Middle-Income Countries: A Qualitative Study - ResearchGate, accessed on January 31,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https://www.researchgate.net/publication/352675643_Exploring_Barriers_to_Medication_Adherence_Using_COM-B_Model_of_Behaviour_Among_Patients_with_Cardiovascular_Diseases_in_Low-_and_Middle-Income_Countries_A_Qualitative_Study</w:t>
        </w:r>
      </w:hyperlink>
      <w:r w:rsidDel="00000000" w:rsidR="00000000" w:rsidRPr="00000000">
        <w:rPr>
          <w:rtl w:val="0"/>
        </w:rPr>
      </w:r>
    </w:p>
    <w:p w:rsidR="00000000" w:rsidDel="00000000" w:rsidP="00000000" w:rsidRDefault="00000000" w:rsidRPr="00000000" w14:paraId="00000130">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Jan Aushadhi Medicine Price List | PDF | Analgesic - Scribd, accessed on January 31, 2026, </w:t>
      </w:r>
      <w:hyperlink r:id="rId56">
        <w:r w:rsidDel="00000000" w:rsidR="00000000" w:rsidRPr="00000000">
          <w:rPr>
            <w:rFonts w:ascii="Google Sans" w:cs="Google Sans" w:eastAsia="Google Sans" w:hAnsi="Google Sans"/>
            <w:color w:val="0000ee"/>
            <w:sz w:val="24"/>
            <w:szCs w:val="24"/>
            <w:u w:val="single"/>
            <w:rtl w:val="0"/>
          </w:rPr>
          <w:t xml:space="preserve">https://www.scribd.com/document/339993002/MRPList-pdf</w:t>
        </w:r>
      </w:hyperlink>
      <w:r w:rsidDel="00000000" w:rsidR="00000000" w:rsidRPr="00000000">
        <w:rPr>
          <w:rtl w:val="0"/>
        </w:rPr>
      </w:r>
    </w:p>
    <w:p w:rsidR="00000000" w:rsidDel="00000000" w:rsidP="00000000" w:rsidRDefault="00000000" w:rsidRPr="00000000" w14:paraId="00000131">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Pradhan Mantri Bhartiya Jan Aushadhi Pariyojna - Price List, accessed on January 31, 2026, </w:t>
      </w:r>
      <w:hyperlink r:id="rId57">
        <w:r w:rsidDel="00000000" w:rsidR="00000000" w:rsidRPr="00000000">
          <w:rPr>
            <w:rFonts w:ascii="Google Sans" w:cs="Google Sans" w:eastAsia="Google Sans" w:hAnsi="Google Sans"/>
            <w:color w:val="0000ee"/>
            <w:sz w:val="24"/>
            <w:szCs w:val="24"/>
            <w:u w:val="single"/>
            <w:rtl w:val="0"/>
          </w:rPr>
          <w:t xml:space="preserve">https://hfw.assam.gov.in/sites/default/files/swf_utility_folder/departments/hfw_lipl_in_oid_3/menu/information_and_services/Pradhan%20Mantri%20Bhartiya%20Jan%20Aushadhi%20Pariyojna.pdf</w:t>
        </w:r>
      </w:hyperlink>
      <w:r w:rsidDel="00000000" w:rsidR="00000000" w:rsidRPr="00000000">
        <w:rPr>
          <w:rtl w:val="0"/>
        </w:rPr>
      </w:r>
    </w:p>
    <w:p w:rsidR="00000000" w:rsidDel="00000000" w:rsidP="00000000" w:rsidRDefault="00000000" w:rsidRPr="00000000" w14:paraId="00000132">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Metoprolol Succinate Extended Release 50 mg, 10 tablets | API GENERIC PHARMACY, accessed on January 31, 2026, </w:t>
      </w:r>
      <w:hyperlink r:id="rId58">
        <w:r w:rsidDel="00000000" w:rsidR="00000000" w:rsidRPr="00000000">
          <w:rPr>
            <w:rFonts w:ascii="Google Sans" w:cs="Google Sans" w:eastAsia="Google Sans" w:hAnsi="Google Sans"/>
            <w:color w:val="0000ee"/>
            <w:sz w:val="24"/>
            <w:szCs w:val="24"/>
            <w:u w:val="single"/>
            <w:rtl w:val="0"/>
          </w:rPr>
          <w:t xml:space="preserve">https://www.apijanaushadhi.in/product-page/metoprolol-50-mg</w:t>
        </w:r>
      </w:hyperlink>
      <w:r w:rsidDel="00000000" w:rsidR="00000000" w:rsidRPr="00000000">
        <w:rPr>
          <w:rtl w:val="0"/>
        </w:rPr>
      </w:r>
    </w:p>
    <w:p w:rsidR="00000000" w:rsidDel="00000000" w:rsidP="00000000" w:rsidRDefault="00000000" w:rsidRPr="00000000" w14:paraId="00000133">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Medicine Price List of Jan Aushadhi | PDF - Scribd, accessed on January 31, 2026, </w:t>
      </w:r>
      <w:hyperlink r:id="rId59">
        <w:r w:rsidDel="00000000" w:rsidR="00000000" w:rsidRPr="00000000">
          <w:rPr>
            <w:rFonts w:ascii="Google Sans" w:cs="Google Sans" w:eastAsia="Google Sans" w:hAnsi="Google Sans"/>
            <w:color w:val="0000ee"/>
            <w:sz w:val="24"/>
            <w:szCs w:val="24"/>
            <w:u w:val="single"/>
            <w:rtl w:val="0"/>
          </w:rPr>
          <w:t xml:space="preserve">https://www.scribd.com/document/841923858/Medicine-price-list-of-Jan-Aushadhi</w:t>
        </w:r>
      </w:hyperlink>
      <w:r w:rsidDel="00000000" w:rsidR="00000000" w:rsidRPr="00000000">
        <w:rPr>
          <w:rtl w:val="0"/>
        </w:rPr>
      </w:r>
    </w:p>
    <w:p w:rsidR="00000000" w:rsidDel="00000000" w:rsidP="00000000" w:rsidRDefault="00000000" w:rsidRPr="00000000" w14:paraId="00000134">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What is the Cost of a Stent in Angioplasty? - Star Health Insurance, accessed on January 31, 2026, </w:t>
      </w:r>
      <w:hyperlink r:id="rId60">
        <w:r w:rsidDel="00000000" w:rsidR="00000000" w:rsidRPr="00000000">
          <w:rPr>
            <w:rFonts w:ascii="Google Sans" w:cs="Google Sans" w:eastAsia="Google Sans" w:hAnsi="Google Sans"/>
            <w:color w:val="0000ee"/>
            <w:sz w:val="24"/>
            <w:szCs w:val="24"/>
            <w:u w:val="single"/>
            <w:rtl w:val="0"/>
          </w:rPr>
          <w:t xml:space="preserve">https://www.starhealth.in/answers/angioplasty-stent-cost-in-india/</w:t>
        </w:r>
      </w:hyperlink>
      <w:r w:rsidDel="00000000" w:rsidR="00000000" w:rsidRPr="00000000">
        <w:rPr>
          <w:rtl w:val="0"/>
        </w:rPr>
      </w:r>
    </w:p>
    <w:p w:rsidR="00000000" w:rsidDel="00000000" w:rsidP="00000000" w:rsidRDefault="00000000" w:rsidRPr="00000000" w14:paraId="00000135">
      <w:pPr>
        <w:widowControl w:val="0"/>
        <w:numPr>
          <w:ilvl w:val="0"/>
          <w:numId w:val="16"/>
        </w:numPr>
        <w:spacing w:line="240" w:lineRule="auto"/>
        <w:ind w:left="600" w:hanging="360"/>
      </w:pPr>
      <w:r w:rsidDel="00000000" w:rsidR="00000000" w:rsidRPr="00000000">
        <w:rPr>
          <w:rFonts w:ascii="Google Sans" w:cs="Google Sans" w:eastAsia="Google Sans" w:hAnsi="Google Sans"/>
          <w:sz w:val="24"/>
          <w:szCs w:val="24"/>
          <w:rtl w:val="0"/>
        </w:rPr>
        <w:t xml:space="preserve">Coronary Angioplasty Surgery Cost in India - Medserg, accessed on January 31, 2026, </w:t>
      </w:r>
      <w:hyperlink r:id="rId61">
        <w:r w:rsidDel="00000000" w:rsidR="00000000" w:rsidRPr="00000000">
          <w:rPr>
            <w:rFonts w:ascii="Google Sans" w:cs="Google Sans" w:eastAsia="Google Sans" w:hAnsi="Google Sans"/>
            <w:color w:val="0000ee"/>
            <w:sz w:val="24"/>
            <w:szCs w:val="24"/>
            <w:u w:val="single"/>
            <w:rtl w:val="0"/>
          </w:rPr>
          <w:t xml:space="preserve">https://medserg.com/coronary-angioplasty-surgery-cost-in-india/</w:t>
        </w:r>
      </w:hyperlink>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1422-0067/25/12/6388" TargetMode="External"/><Relationship Id="rId42" Type="http://schemas.openxmlformats.org/officeDocument/2006/relationships/hyperlink" Target="https://pubmed.ncbi.nlm.nih.gov/11310527/" TargetMode="External"/><Relationship Id="rId41" Type="http://schemas.openxmlformats.org/officeDocument/2006/relationships/hyperlink" Target="https://www.webmd.com/vitamins/ai/ingredientmono-733/fenugreek" TargetMode="External"/><Relationship Id="rId44" Type="http://schemas.openxmlformats.org/officeDocument/2006/relationships/hyperlink" Target="https://www.drugs.com/medical-answers/what-is-the-shelf-life-of-the-nitroglycerin-96482/" TargetMode="External"/><Relationship Id="rId43" Type="http://schemas.openxmlformats.org/officeDocument/2006/relationships/hyperlink" Target="https://www.mayoclinic.org/healthy-lifestyle/consumer-health/in-depth/herbal-supplements/art-20046488" TargetMode="External"/><Relationship Id="rId46" Type="http://schemas.openxmlformats.org/officeDocument/2006/relationships/hyperlink" Target="https://diabetes.co.in/article/how-to-store-insulin-without-refrigeration" TargetMode="External"/><Relationship Id="rId45" Type="http://schemas.openxmlformats.org/officeDocument/2006/relationships/hyperlink" Target="https://pubmed.ncbi.nlm.nih.gov/42076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cc.org/latest-in-cardiology/ten-points-to-remember/2015/05/15/13/28/gender-differences-in-the-effect-of-cardiovascular-drugs" TargetMode="External"/><Relationship Id="rId48" Type="http://schemas.openxmlformats.org/officeDocument/2006/relationships/hyperlink" Target="https://pubmed.ncbi.nlm.nih.gov/27472257/" TargetMode="External"/><Relationship Id="rId47" Type="http://schemas.openxmlformats.org/officeDocument/2006/relationships/hyperlink" Target="https://pmc.ncbi.nlm.nih.gov/articles/PMC9936990/" TargetMode="External"/><Relationship Id="rId49" Type="http://schemas.openxmlformats.org/officeDocument/2006/relationships/hyperlink" Target="https://www.timesnownews.com/health/karwa-chauth-fasting-for-heart-patients-safety-tips-risks-and-expert-advice-article-152957348" TargetMode="External"/><Relationship Id="rId5" Type="http://schemas.openxmlformats.org/officeDocument/2006/relationships/styles" Target="styles.xml"/><Relationship Id="rId6" Type="http://schemas.openxmlformats.org/officeDocument/2006/relationships/hyperlink" Target="https://pubmed.ncbi.nlm.nih.gov/36690310/" TargetMode="External"/><Relationship Id="rId7" Type="http://schemas.openxmlformats.org/officeDocument/2006/relationships/hyperlink" Target="https://health.economictimes.indiatimes.com/news/industry/inclusive-research-women-left-out-of-drug-research-clinical-trials/104685037" TargetMode="External"/><Relationship Id="rId8" Type="http://schemas.openxmlformats.org/officeDocument/2006/relationships/hyperlink" Target="https://www.portailvasculaire.fr/sites/default/files/docs/2023_esc_rosano_gmc_traitements_cardiovasculaires_genre_ehj.pdf" TargetMode="External"/><Relationship Id="rId31" Type="http://schemas.openxmlformats.org/officeDocument/2006/relationships/hyperlink" Target="https://pmc.ncbi.nlm.nih.gov/articles/PMC5015508/" TargetMode="External"/><Relationship Id="rId30" Type="http://schemas.openxmlformats.org/officeDocument/2006/relationships/hyperlink" Target="https://pmc.ncbi.nlm.nih.gov/articles/PMC11498049/" TargetMode="External"/><Relationship Id="rId33" Type="http://schemas.openxmlformats.org/officeDocument/2006/relationships/hyperlink" Target="https://timesofindia.indiatimes.com/life-style/health-fitness/health-news/common-painkillers-can-increase-the-risk-of-repeated-heart-attacks-study/articleshow/123406393.cms" TargetMode="External"/><Relationship Id="rId32" Type="http://schemas.openxmlformats.org/officeDocument/2006/relationships/hyperlink" Target="https://pmc.ncbi.nlm.nih.gov/articles/PMC6490752/" TargetMode="External"/><Relationship Id="rId35" Type="http://schemas.openxmlformats.org/officeDocument/2006/relationships/hyperlink" Target="https://ehealth.eletsonline.com/2024/05/meftal-spas-vs-other-pain-relievers-which-is-right-for-you/" TargetMode="External"/><Relationship Id="rId34" Type="http://schemas.openxmlformats.org/officeDocument/2006/relationships/hyperlink" Target="https://www.1mg.com/drugs/combiflam-tablet-325414" TargetMode="External"/><Relationship Id="rId37" Type="http://schemas.openxmlformats.org/officeDocument/2006/relationships/hyperlink" Target="https://medsafe.govt.nz/safety/ews/2018/Turmeric.asp" TargetMode="External"/><Relationship Id="rId36" Type="http://schemas.openxmlformats.org/officeDocument/2006/relationships/hyperlink" Target="https://www.wmic.wales.nhs.uk/turmeric-potential-interactions/" TargetMode="External"/><Relationship Id="rId39" Type="http://schemas.openxmlformats.org/officeDocument/2006/relationships/hyperlink" Target="https://acforum.org/web/resource_files/1741959009-1012.pdf" TargetMode="External"/><Relationship Id="rId38" Type="http://schemas.openxmlformats.org/officeDocument/2006/relationships/hyperlink" Target="https://pmc.ncbi.nlm.nih.gov/articles/PMC3976951/" TargetMode="External"/><Relationship Id="rId61" Type="http://schemas.openxmlformats.org/officeDocument/2006/relationships/hyperlink" Target="https://medserg.com/coronary-angioplasty-surgery-cost-in-india/" TargetMode="External"/><Relationship Id="rId20" Type="http://schemas.openxmlformats.org/officeDocument/2006/relationships/hyperlink" Target="https://www.fogsi.org/wp-content/uploads/2015/11/hdp.pdf" TargetMode="External"/><Relationship Id="rId22" Type="http://schemas.openxmlformats.org/officeDocument/2006/relationships/hyperlink" Target="https://s3.amazonaws.com/cdn.smfm.org/attachments/818/b8d458a5f777f5295a37dc7adf4a72c0.pdf" TargetMode="External"/><Relationship Id="rId21" Type="http://schemas.openxmlformats.org/officeDocument/2006/relationships/hyperlink" Target="https://icogonline.org/wp-content/uploads/pdf/gcpr/hdp_fogsi_gestosis_icog_gcpr_2019.pdf" TargetMode="External"/><Relationship Id="rId24" Type="http://schemas.openxmlformats.org/officeDocument/2006/relationships/hyperlink" Target="https://utswmed.org/medblog/postpartum-high-blood-pressure/" TargetMode="External"/><Relationship Id="rId23" Type="http://schemas.openxmlformats.org/officeDocument/2006/relationships/hyperlink" Target="https://pmc.ncbi.nlm.nih.gov/articles/PMC10407242/" TargetMode="External"/><Relationship Id="rId60" Type="http://schemas.openxmlformats.org/officeDocument/2006/relationships/hyperlink" Target="https://www.starhealth.in/answers/angioplasty-stent-cost-in-india/" TargetMode="External"/><Relationship Id="rId26" Type="http://schemas.openxmlformats.org/officeDocument/2006/relationships/hyperlink" Target="https://menopause.org/press-releases/is-hormone-therapy-good-for-heart-health" TargetMode="External"/><Relationship Id="rId25" Type="http://schemas.openxmlformats.org/officeDocument/2006/relationships/hyperlink" Target="https://www.thewomens.org.au/health-information/pregnancy-and-birth/pregnancy-problems/pregnancy-problems-in-later-pregnancy/preeclampsia" TargetMode="External"/><Relationship Id="rId28" Type="http://schemas.openxmlformats.org/officeDocument/2006/relationships/hyperlink" Target="https://www.researchgate.net/publication/399141283_Statin_Therapy_in_Indian_Women_with_Dyslipidemia_Myths_Evidence_Adherence_and_the_Role_of_Nutrition_Nutraceuticals_Yoga_Stress_Management_and_Mental_Health_in_Lipid_Control" TargetMode="External"/><Relationship Id="rId27" Type="http://schemas.openxmlformats.org/officeDocument/2006/relationships/hyperlink" Target="https://ijcdw.org/?view-pdf=1&amp;embedded=true&amp;article=ce3f9e845990ab8f1ebe743a21d46824eKfrXY6xJ0Q%3D" TargetMode="External"/><Relationship Id="rId29" Type="http://schemas.openxmlformats.org/officeDocument/2006/relationships/hyperlink" Target="https://indianmenopausesociety.org/assets/pdf/gynaecologist/archives/Hormone_Therapy_and_Cardiovascular_Disease.pdf" TargetMode="External"/><Relationship Id="rId51" Type="http://schemas.openxmlformats.org/officeDocument/2006/relationships/hyperlink" Target="https://www.youtube.com/watch?v=KBAoBq0TGJw" TargetMode="External"/><Relationship Id="rId50" Type="http://schemas.openxmlformats.org/officeDocument/2006/relationships/hyperlink" Target="https://www.saaoldelhi.com/blogs/karwa-chauth-and-heart-disease-understanding-the-risk-of-dehydration/" TargetMode="External"/><Relationship Id="rId53" Type="http://schemas.openxmlformats.org/officeDocument/2006/relationships/hyperlink" Target="https://pmc.ncbi.nlm.nih.gov/articles/PMC7322934/" TargetMode="External"/><Relationship Id="rId52" Type="http://schemas.openxmlformats.org/officeDocument/2006/relationships/hyperlink" Target="https://pmc.ncbi.nlm.nih.gov/articles/PMC12495073/" TargetMode="External"/><Relationship Id="rId11" Type="http://schemas.openxmlformats.org/officeDocument/2006/relationships/hyperlink" Target="https://www.researchgate.net/publication/397030166_Prevalence_of_rheumatic_heart_disease_among_school_children_of_Patna_District_in_Eastern_India_and_an_insight_into_its_prevention" TargetMode="External"/><Relationship Id="rId55" Type="http://schemas.openxmlformats.org/officeDocument/2006/relationships/hyperlink" Target="https://www.researchgate.net/publication/352675643_Exploring_Barriers_to_Medication_Adherence_Using_COM-B_Model_of_Behaviour_Among_Patients_with_Cardiovascular_Diseases_in_Low-_and_Middle-Income_Countries_A_Qualitative_Study" TargetMode="External"/><Relationship Id="rId10" Type="http://schemas.openxmlformats.org/officeDocument/2006/relationships/hyperlink" Target="https://pubs.acs.org/doi/10.1021/acsptsci.3c00116" TargetMode="External"/><Relationship Id="rId54" Type="http://schemas.openxmlformats.org/officeDocument/2006/relationships/hyperlink" Target="https://pubmed.ncbi.nlm.nih.gov/30499375/" TargetMode="External"/><Relationship Id="rId13" Type="http://schemas.openxmlformats.org/officeDocument/2006/relationships/hyperlink" Target="https://academic.oup.com/eurheartj/article/41/Supplement_2/ehaa946.1898/6005676" TargetMode="External"/><Relationship Id="rId57" Type="http://schemas.openxmlformats.org/officeDocument/2006/relationships/hyperlink" Target="https://hfw.assam.gov.in/sites/default/files/swf_utility_folder/departments/hfw_lipl_in_oid_3/menu/information_and_services/Pradhan%20Mantri%20Bhartiya%20Jan%20Aushadhi%20Pariyojna.pdf" TargetMode="External"/><Relationship Id="rId12" Type="http://schemas.openxmlformats.org/officeDocument/2006/relationships/hyperlink" Target="https://pubmed.ncbi.nlm.nih.gov/40816640/" TargetMode="External"/><Relationship Id="rId56" Type="http://schemas.openxmlformats.org/officeDocument/2006/relationships/hyperlink" Target="https://www.scribd.com/document/339993002/MRPList-pdf" TargetMode="External"/><Relationship Id="rId15" Type="http://schemas.openxmlformats.org/officeDocument/2006/relationships/hyperlink" Target="https://pmc.ncbi.nlm.nih.gov/articles/PMC5003746/" TargetMode="External"/><Relationship Id="rId59" Type="http://schemas.openxmlformats.org/officeDocument/2006/relationships/hyperlink" Target="https://www.scribd.com/document/841923858/Medicine-price-list-of-Jan-Aushadhi" TargetMode="External"/><Relationship Id="rId14" Type="http://schemas.openxmlformats.org/officeDocument/2006/relationships/hyperlink" Target="https://pubmed.ncbi.nlm.nih.gov/24020937/" TargetMode="External"/><Relationship Id="rId58" Type="http://schemas.openxmlformats.org/officeDocument/2006/relationships/hyperlink" Target="https://www.apijanaushadhi.in/product-page/metoprolol-50-mg" TargetMode="External"/><Relationship Id="rId17" Type="http://schemas.openxmlformats.org/officeDocument/2006/relationships/hyperlink" Target="https://www.benthamdirect.com/content/journals/ccr/10.2174/011573403X349035250408050637" TargetMode="External"/><Relationship Id="rId16" Type="http://schemas.openxmlformats.org/officeDocument/2006/relationships/hyperlink" Target="https://ijogr.org/archive/volume/10/issue/3/article/13590" TargetMode="External"/><Relationship Id="rId19" Type="http://schemas.openxmlformats.org/officeDocument/2006/relationships/hyperlink" Target="https://pmc.ncbi.nlm.nih.gov/articles/PMC9207847/" TargetMode="External"/><Relationship Id="rId18" Type="http://schemas.openxmlformats.org/officeDocument/2006/relationships/hyperlink" Target="https://www.fogsi.org/wp-content/uploads/2026/01/Hypertensive-Disorders-in-Pregnancy-Final-pdf.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