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sz w:val="32"/>
          <w:szCs w:val="32"/>
        </w:rPr>
        <w:t xml:space="preserve">Industrial Training</w:t>
      </w:r>
    </w:p>
    <w:p>
      <w:pPr>
        <w:spacing w:after="240" w:before="0" w:line="276"/>
        <w:jc w:val="center"/>
      </w:pPr>
      <w:r>
        <w:rPr>
          <w:rFonts w:ascii="Times New Roman" w:cs="Times New Roman" w:eastAsia="Times New Roman" w:hAnsi="Times New Roman"/>
          <w:sz w:val="32"/>
          <w:szCs w:val="32"/>
        </w:rPr>
        <w:t xml:space="preserve">On</w:t>
      </w:r>
    </w:p>
    <w:p>
      <w:pPr>
        <w:spacing w:after="240" w:before="0" w:line="300"/>
        <w:jc w:val="center"/>
      </w:pPr>
      <w:r>
        <w:rPr>
          <w:rFonts w:ascii="Times New Roman" w:cs="Times New Roman" w:eastAsia="Times New Roman" w:hAnsi="Times New Roman"/>
          <w:sz w:val="32"/>
          <w:szCs w:val="32"/>
        </w:rPr>
        <w:t xml:space="preserve">CivilInc: Design and Development of an AI-Enabled Civic Grievance Redressal and Urban Infrastructure Management Platform for Smart City Governance</w:t>
      </w:r>
    </w:p>
    <w:p>
      <w:pPr>
        <w:spacing w:after="480" w:before="0" w:line="276"/>
        <w:jc w:val="center"/>
      </w:pPr>
      <w:r>
        <w:rPr>
          <w:rFonts w:ascii="Times New Roman" w:cs="Times New Roman" w:eastAsia="Times New Roman" w:hAnsi="Times New Roman"/>
          <w:sz w:val="32"/>
          <w:szCs w:val="32"/>
        </w:rPr>
        <w:t xml:space="preserve">Submitted By</w:t>
      </w:r>
    </w:p>
    <w:p>
      <w:pPr>
        <w:tabs>
          <w:tab w:val="right" w:pos="9026"/>
        </w:tabs>
        <w:spacing w:after="120"/>
      </w:pPr>
      <w:r>
        <w:rPr>
          <w:rFonts w:ascii="Times New Roman" w:cs="Times New Roman" w:eastAsia="Times New Roman" w:hAnsi="Times New Roman"/>
          <w:sz w:val="22"/>
          <w:szCs w:val="22"/>
        </w:rPr>
        <w:t xml:space="preserve">Student Name: Yuvaraj S Yali</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CD</w:t>
      </w:r>
    </w:p>
    <w:p>
      <w:pPr>
        <w:tabs>
          <w:tab w:val="right" w:pos="9026"/>
        </w:tabs>
        <w:spacing w:after="120"/>
      </w:pPr>
      <w:r>
        <w:rPr>
          <w:rFonts w:ascii="Times New Roman" w:cs="Times New Roman" w:eastAsia="Times New Roman" w:hAnsi="Times New Roman"/>
          <w:sz w:val="22"/>
          <w:szCs w:val="22"/>
        </w:rPr>
        <w:t xml:space="preserve">Reg No: 230907440</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E-Mail Id: syaliyuvaraj@gmail.com</w:t>
      </w:r>
    </w:p>
    <w:p>
      <w:pPr>
        <w:tabs>
          <w:tab w:val="right" w:pos="9026"/>
        </w:tabs>
        <w:spacing w:after="120"/>
      </w:pPr>
      <w:r>
        <w:rPr>
          <w:rFonts w:ascii="Times New Roman" w:cs="Times New Roman" w:eastAsia="Times New Roman" w:hAnsi="Times New Roman"/>
          <w:sz w:val="22"/>
          <w:szCs w:val="22"/>
        </w:rPr>
        <w:t xml:space="preserve">Roll No: 44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Mobile No: +91 8310755424</w:t>
      </w:r>
    </w:p>
    <w:p>
      <w:pPr>
        <w:spacing w:after="240"/>
      </w:pPr>
    </w:p>
    <w:p>
      <w:pPr>
        <w:tabs>
          <w:tab w:val="right" w:pos="9026"/>
        </w:tabs>
        <w:spacing w:after="120"/>
      </w:pPr>
      <w:r>
        <w:rPr>
          <w:rFonts w:ascii="Times New Roman" w:cs="Times New Roman" w:eastAsia="Times New Roman" w:hAnsi="Times New Roman"/>
          <w:sz w:val="22"/>
          <w:szCs w:val="22"/>
        </w:rPr>
        <w:t xml:space="preserve">Under the Guidance of:</w:t>
      </w:r>
      <w:r>
        <w:rPr>
          <w:rFonts w:ascii="Times New Roman" w:cs="Times New Roman" w:eastAsia="Times New Roman" w:hAnsi="Times New Roman"/>
          <w:sz w:val="22"/>
          <w:szCs w:val="22"/>
        </w:rPr>
        <w:t xml:space="preserve">	</w:t>
      </w:r>
    </w:p>
    <w:p>
      <w:pPr>
        <w:tabs>
          <w:tab w:val="right" w:pos="9026"/>
        </w:tabs>
        <w:spacing w:after="120"/>
      </w:pPr>
      <w:r>
        <w:rPr>
          <w:rFonts w:ascii="Times New Roman" w:cs="Times New Roman" w:eastAsia="Times New Roman" w:hAnsi="Times New Roman"/>
          <w:sz w:val="22"/>
          <w:szCs w:val="22"/>
        </w:rPr>
        <w:t xml:space="preserve">Internal Guide’s Name: Smt. Kavitha Yogappanavar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College Guide’s Name: Dr. Ananthakrishna T</w:t>
      </w:r>
    </w:p>
    <w:p>
      <w:pPr>
        <w:tabs>
          <w:tab w:val="right" w:pos="9026"/>
        </w:tabs>
        <w:spacing w:after="120"/>
      </w:pPr>
      <w:r>
        <w:rPr>
          <w:rFonts w:ascii="Times New Roman" w:cs="Times New Roman" w:eastAsia="Times New Roman" w:hAnsi="Times New Roman"/>
          <w:sz w:val="22"/>
          <w:szCs w:val="22"/>
        </w:rPr>
        <w:t xml:space="preserve">Designation: Commissioner – Shimoga City Corporation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Department of Electronics and</w:t>
      </w:r>
    </w:p>
    <w:p>
      <w:pPr>
        <w:tabs>
          <w:tab w:val="right" w:pos="9026"/>
        </w:tabs>
        <w:spacing w:after="120"/>
      </w:pPr>
      <w:r>
        <w:rPr>
          <w:rFonts w:ascii="Times New Roman" w:cs="Times New Roman" w:eastAsia="Times New Roman" w:hAnsi="Times New Roman"/>
          <w:sz w:val="22"/>
          <w:szCs w:val="22"/>
        </w:rPr>
        <w:t xml:space="preserve">&amp; Managing Director, Shimoga Smart City Ltd.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Communication Engineering</w:t>
      </w:r>
    </w:p>
    <w:p>
      <w:pPr>
        <w:tabs>
          <w:tab w:val="right" w:pos="9026"/>
        </w:tabs>
        <w:spacing w:after="120"/>
      </w:pPr>
      <w:r>
        <w:rPr>
          <w:rFonts w:ascii="Times New Roman" w:cs="Times New Roman" w:eastAsia="Times New Roman" w:hAnsi="Times New Roman"/>
          <w:sz w:val="22"/>
          <w:szCs w:val="22"/>
        </w:rPr>
        <w:t xml:space="preserve">Name of the Organization: Shivamogga Smart City Limited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Manipal Institute of Technology</w:t>
      </w:r>
    </w:p>
    <w:p>
      <w:pPr>
        <w:spacing w:after="360"/>
      </w:pPr>
    </w:p>
    <w:p>
      <w:pPr>
        <w:spacing w:after="240"/>
        <w:jc w:val="center"/>
      </w:pPr>
      <w:r>
        <w:drawing>
          <wp:inline distT="0" distB="0" distL="0" distR="0">
            <wp:extent cx="4953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81025"/>
                    </a:xfrm>
                    <a:prstGeom prst="rect">
                      <a:avLst/>
                    </a:prstGeom>
                  </pic:spPr>
                </pic:pic>
              </a:graphicData>
            </a:graphic>
          </wp:inline>
        </w:drawing>
      </w:r>
    </w:p>
    <w:p>
      <w:pPr>
        <w:spacing w:after="120" w:before="0" w:line="276"/>
        <w:jc w:val="center"/>
      </w:pPr>
      <w:r>
        <w:rPr>
          <w:rFonts w:ascii="Times New Roman" w:cs="Times New Roman" w:eastAsia="Times New Roman" w:hAnsi="Times New Roman"/>
          <w:sz w:val="32"/>
          <w:szCs w:val="32"/>
        </w:rPr>
        <w:t xml:space="preserve">Department of Electronics and Communication Engineering</w:t>
      </w:r>
    </w:p>
    <w:p>
      <w:pPr>
        <w:spacing w:after="160" w:before="0" w:line="276"/>
        <w:jc w:val="center"/>
      </w:pPr>
      <w:r>
        <w:rPr>
          <w:rFonts w:ascii="Times New Roman" w:cs="Times New Roman" w:eastAsia="Times New Roman" w:hAnsi="Times New Roman"/>
          <w:sz w:val="32"/>
          <w:szCs w:val="32"/>
        </w:rPr>
        <w:t xml:space="preserve">2027</w:t>
      </w:r>
    </w:p>
    <w:p>
      <w:pPr>
        <w:sectPr>
          <w:pgSz w:w="11906" w:h="16838" w:orient="portrait"/>
          <w:pgMar w:top="1440" w:right="1440" w:bottom="1440" w:left="1440" w:header="708" w:footer="708" w:gutter="0"/>
          <w:pgNumType/>
          <w:docGrid w:linePitch="360"/>
        </w:sectPr>
      </w:pPr>
    </w:p>
    <w:p>
      <w:pPr>
        <w:pStyle w:val="Heading1"/>
        <w:spacing w:after="360"/>
        <w:jc w:val="center"/>
      </w:pPr>
      <w:r>
        <w:rPr>
          <w:rFonts w:ascii="Times New Roman" w:cs="Times New Roman" w:eastAsia="Times New Roman" w:hAnsi="Times New Roman"/>
          <w:b/>
          <w:bCs/>
          <w:sz w:val="32"/>
          <w:szCs w:val="32"/>
        </w:rPr>
        <w:t xml:space="preserve">LETTER OF RECOMMENDATION</w:t>
      </w:r>
    </w:p>
    <w:p>
      <w:pPr>
        <w:keepNext/>
        <w:spacing w:after="80" w:before="120"/>
        <w:jc w:val="center"/>
      </w:pPr>
      <w:r>
        <w:drawing>
          <wp:inline distT="0" distB="0" distL="0" distR="0">
            <wp:extent cx="5124450" cy="719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7191375"/>
                    </a:xfrm>
                    <a:prstGeom prst="rect">
                      <a:avLst/>
                    </a:prstGeom>
                  </pic:spPr>
                </pic:pic>
              </a:graphicData>
            </a:graphic>
          </wp:inline>
        </w:drawing>
      </w:r>
    </w:p>
    <w:p>
      <w:pPr>
        <w:spacing w:after="160" w:before="0" w:line="276"/>
        <w:jc w:val="center"/>
      </w:pPr>
      <w:r>
        <w:rPr>
          <w:rFonts w:ascii="Times New Roman" w:cs="Times New Roman" w:eastAsia="Times New Roman" w:hAnsi="Times New Roman"/>
          <w:i/>
          <w:iCs/>
          <w:sz w:val="20"/>
          <w:szCs w:val="20"/>
        </w:rPr>
        <w:t xml:space="preserve">Letter No. SSCL/ICT/2025-26/32 dated 06-06-2025 issued by the Commissioner, Shivamogga City Corporation and Managing Director, Shivamogga Smart City Limited.</w:t>
      </w:r>
    </w:p>
    <w:p>
      <w:r>
        <w:br w:type="page"/>
      </w:r>
    </w:p>
    <w:p>
      <w:pPr>
        <w:pStyle w:val="Heading1"/>
        <w:spacing w:after="360"/>
        <w:jc w:val="center"/>
      </w:pPr>
      <w:r>
        <w:rPr>
          <w:rFonts w:ascii="Times New Roman" w:cs="Times New Roman" w:eastAsia="Times New Roman" w:hAnsi="Times New Roman"/>
          <w:b/>
          <w:bCs/>
          <w:sz w:val="32"/>
          <w:szCs w:val="32"/>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426"/>
        <w:gridCol w:w="23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6"/>
                <w:szCs w:val="26"/>
              </w:rPr>
              <w:t xml:space="preserve">S.No</w:t>
            </w:r>
          </w:p>
        </w:tc>
        <w:tc>
          <w:tcPr>
            <w:tcW w:type="dxa" w:w="5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6"/>
                <w:szCs w:val="26"/>
              </w:rPr>
              <w:t xml:space="preserve">Title</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6"/>
                <w:szCs w:val="26"/>
              </w:rPr>
              <w:t xml:space="preserve">Page Number</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1</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Acknowledgement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(iii)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2</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Details of the Organization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(iv)</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3</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List of Figures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(v)</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4</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List of Tables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(vi)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5</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Chapter 1: Introduction and the Objectives of the Project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1-2</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6</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Chapter 2: Work Done during the Training Period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3-20</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7</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Chapter 3: Learnings and Impact of the ITR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21</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8</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Chapter 4: Concluding Remarks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22</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9</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References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23</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10</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Plagiarism / Similarity Report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24</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11</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Annexures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6"/>
                <w:szCs w:val="26"/>
              </w:rPr>
              <w:t xml:space="preserve">25</w:t>
            </w:r>
          </w:p>
        </w:tc>
      </w:tr>
    </w:tbl>
    <w:p>
      <w:r>
        <w:br w:type="page"/>
      </w:r>
    </w:p>
    <w:p>
      <w:pPr>
        <w:pStyle w:val="Heading1"/>
        <w:spacing w:after="360"/>
        <w:jc w:val="center"/>
      </w:pPr>
      <w:r>
        <w:rPr>
          <w:rFonts w:ascii="Times New Roman" w:cs="Times New Roman" w:eastAsia="Times New Roman" w:hAnsi="Times New Roman"/>
          <w:b/>
          <w:bCs/>
          <w:sz w:val="32"/>
          <w:szCs w:val="32"/>
        </w:rPr>
        <w:t xml:space="preserve">ACKNOWLEDGEMENT</w:t>
      </w:r>
    </w:p>
    <w:p>
      <w:pPr>
        <w:spacing w:after="160" w:before="0" w:line="276"/>
        <w:jc w:val="both"/>
      </w:pPr>
      <w:r>
        <w:rPr>
          <w:rFonts w:ascii="Times New Roman" w:cs="Times New Roman" w:eastAsia="Times New Roman" w:hAnsi="Times New Roman"/>
          <w:sz w:val="24"/>
          <w:szCs w:val="24"/>
        </w:rPr>
        <w:t xml:space="preserve">I would like to express my sincere gratitude to </w:t>
      </w:r>
      <w:r>
        <w:rPr>
          <w:rFonts w:ascii="Times New Roman" w:cs="Times New Roman" w:eastAsia="Times New Roman" w:hAnsi="Times New Roman"/>
          <w:b/>
          <w:bCs/>
          <w:sz w:val="24"/>
          <w:szCs w:val="24"/>
        </w:rPr>
        <w:t xml:space="preserve">Shivamogga Smart City Limited</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Shivamogga City Corporation</w:t>
      </w:r>
      <w:r>
        <w:rPr>
          <w:rFonts w:ascii="Times New Roman" w:cs="Times New Roman" w:eastAsia="Times New Roman" w:hAnsi="Times New Roman"/>
          <w:sz w:val="24"/>
          <w:szCs w:val="24"/>
        </w:rPr>
        <w:t xml:space="preserve"> for giving me the opportunity to undertake this industrial training and to work on a problem of real public importance: how a city listens to, and acts upon, the grievances of its citizens. Working alongside a government organisation responsible for urban services gave me an understanding of civic administration that no classroom could have provided.</w:t>
      </w:r>
    </w:p>
    <w:p>
      <w:pPr>
        <w:spacing w:after="160" w:before="0" w:line="276"/>
        <w:jc w:val="both"/>
      </w:pPr>
      <w:r>
        <w:rPr>
          <w:rFonts w:ascii="Times New Roman" w:cs="Times New Roman" w:eastAsia="Times New Roman" w:hAnsi="Times New Roman"/>
          <w:sz w:val="24"/>
          <w:szCs w:val="24"/>
        </w:rPr>
        <w:t xml:space="preserve">I am deeply grateful to </w:t>
      </w:r>
      <w:r>
        <w:rPr>
          <w:rFonts w:ascii="Times New Roman" w:cs="Times New Roman" w:eastAsia="Times New Roman" w:hAnsi="Times New Roman"/>
          <w:b/>
          <w:bCs/>
          <w:sz w:val="24"/>
          <w:szCs w:val="24"/>
        </w:rPr>
        <w:t xml:space="preserve">Smt. Kavitha Yogappanavar</w:t>
      </w:r>
      <w:r>
        <w:rPr>
          <w:rFonts w:ascii="Times New Roman" w:cs="Times New Roman" w:eastAsia="Times New Roman" w:hAnsi="Times New Roman"/>
          <w:sz w:val="24"/>
          <w:szCs w:val="24"/>
        </w:rPr>
        <w:t xml:space="preserve">, Commissioner, Shivamogga City Corporation and Managing Director, Shivamogga Smart City Limited, for her guidance and for reviewing the scope and features of the CivilInc prototype. Her recognition of the work, and her recommendation of the platform for consideration in civic-tech innovation pipelines, has been a great source of motivation for me.</w:t>
      </w:r>
    </w:p>
    <w:p>
      <w:pPr>
        <w:spacing w:after="160" w:before="0" w:line="276"/>
        <w:jc w:val="both"/>
      </w:pPr>
      <w:r>
        <w:rPr>
          <w:rFonts w:ascii="Times New Roman" w:cs="Times New Roman" w:eastAsia="Times New Roman" w:hAnsi="Times New Roman"/>
          <w:sz w:val="24"/>
          <w:szCs w:val="24"/>
        </w:rPr>
        <w:t xml:space="preserve">I also thank the officers and staff of the ICT section of Shivamogga Smart City Limited and the various departments of the City Corporation who patiently explained how complaints are received, routed, escalated and closed today, and the practical difficulties they face in coordinating across departments. Their insights shaped the design of the platform.</w:t>
      </w:r>
    </w:p>
    <w:p>
      <w:pPr>
        <w:spacing w:after="160" w:before="0" w:line="276"/>
        <w:jc w:val="both"/>
      </w:pPr>
      <w:r>
        <w:rPr>
          <w:rFonts w:ascii="Times New Roman" w:cs="Times New Roman" w:eastAsia="Times New Roman" w:hAnsi="Times New Roman"/>
          <w:sz w:val="24"/>
          <w:szCs w:val="24"/>
        </w:rPr>
        <w:t xml:space="preserve">I would like to thank my college guide, </w:t>
      </w:r>
      <w:r>
        <w:rPr>
          <w:rFonts w:ascii="Times New Roman" w:cs="Times New Roman" w:eastAsia="Times New Roman" w:hAnsi="Times New Roman"/>
          <w:b/>
          <w:bCs/>
          <w:sz w:val="24"/>
          <w:szCs w:val="24"/>
        </w:rPr>
        <w:t xml:space="preserve">Dr. Ananthakrishna T</w:t>
      </w:r>
      <w:r>
        <w:rPr>
          <w:rFonts w:ascii="Times New Roman" w:cs="Times New Roman" w:eastAsia="Times New Roman" w:hAnsi="Times New Roman"/>
          <w:sz w:val="24"/>
          <w:szCs w:val="24"/>
        </w:rPr>
        <w:t xml:space="preserve">, Department of Electronics and Communication Engineering, and the faculty of Manipal Institute of Technology for their support and for providing the academic framework within which this training was carried out.</w:t>
      </w:r>
    </w:p>
    <w:p>
      <w:pPr>
        <w:spacing w:after="160" w:before="0" w:line="276"/>
        <w:jc w:val="both"/>
      </w:pPr>
      <w:r>
        <w:rPr>
          <w:rFonts w:ascii="Times New Roman" w:cs="Times New Roman" w:eastAsia="Times New Roman" w:hAnsi="Times New Roman"/>
          <w:sz w:val="24"/>
          <w:szCs w:val="24"/>
        </w:rPr>
        <w:t xml:space="preserve">Finally, I thank my family and friends for their constant encouragement throughout the internship and the development of this project.</w:t>
      </w:r>
    </w:p>
    <w:p>
      <w:pPr>
        <w:spacing w:after="400" w:before="0" w:line="276"/>
        <w:jc w:val="both"/>
      </w:pPr>
    </w:p>
    <w:p>
      <w:pPr>
        <w:spacing w:after="160" w:before="0" w:line="276"/>
        <w:jc w:val="left"/>
      </w:pPr>
      <w:r>
        <w:rPr>
          <w:rFonts w:ascii="Times New Roman" w:cs="Times New Roman" w:eastAsia="Times New Roman" w:hAnsi="Times New Roman"/>
          <w:sz w:val="24"/>
          <w:szCs w:val="24"/>
        </w:rPr>
        <w:t xml:space="preserve">YUVARAJ S YALI</w:t>
      </w:r>
    </w:p>
    <w:p>
      <w:r>
        <w:br w:type="page"/>
      </w:r>
    </w:p>
    <w:p>
      <w:pPr>
        <w:pStyle w:val="Heading1"/>
        <w:spacing w:after="360"/>
        <w:jc w:val="center"/>
      </w:pPr>
      <w:r>
        <w:rPr>
          <w:rFonts w:ascii="Times New Roman" w:cs="Times New Roman" w:eastAsia="Times New Roman" w:hAnsi="Times New Roman"/>
          <w:b/>
          <w:bCs/>
          <w:sz w:val="32"/>
          <w:szCs w:val="32"/>
        </w:rPr>
        <w:t xml:space="preserve">DETAILS OF THE ORGANIZATION – SHIVAMOGGA SMART CITY LIMITED</w:t>
      </w:r>
    </w:p>
    <w:p>
      <w:pPr>
        <w:spacing w:after="160" w:before="0" w:line="276"/>
        <w:jc w:val="both"/>
      </w:pPr>
      <w:r>
        <w:rPr>
          <w:rFonts w:ascii="Times New Roman" w:cs="Times New Roman" w:eastAsia="Times New Roman" w:hAnsi="Times New Roman"/>
          <w:b/>
          <w:bCs/>
          <w:sz w:val="24"/>
          <w:szCs w:val="24"/>
        </w:rPr>
        <w:t xml:space="preserve">Shivamogga Smart City Limited (SSCL)</w:t>
      </w:r>
      <w:r>
        <w:rPr>
          <w:rFonts w:ascii="Times New Roman" w:cs="Times New Roman" w:eastAsia="Times New Roman" w:hAnsi="Times New Roman"/>
          <w:sz w:val="24"/>
          <w:szCs w:val="24"/>
        </w:rPr>
        <w:t xml:space="preserve"> is a Special Purpose Vehicle (SPV) incorporated under the Companies Act, 2013 (CIN: U74999KA2017PLC100268) to plan, appraise, approve, fund, implement, manage and operate projects under the Government of India’s </w:t>
      </w:r>
      <w:r>
        <w:rPr>
          <w:rFonts w:ascii="Times New Roman" w:cs="Times New Roman" w:eastAsia="Times New Roman" w:hAnsi="Times New Roman"/>
          <w:b/>
          <w:bCs/>
          <w:sz w:val="24"/>
          <w:szCs w:val="24"/>
        </w:rPr>
        <w:t xml:space="preserve">Smart Cities Mission</w:t>
      </w:r>
      <w:r>
        <w:rPr>
          <w:rFonts w:ascii="Times New Roman" w:cs="Times New Roman" w:eastAsia="Times New Roman" w:hAnsi="Times New Roman"/>
          <w:sz w:val="24"/>
          <w:szCs w:val="24"/>
        </w:rPr>
        <w:t xml:space="preserve"> in Shivamogga, Karnataka. The company’s registered office is located on the 1st Floor of the Corporation Building block, SN Market, Nehru Road, Shivamogga – 577201.</w:t>
      </w:r>
    </w:p>
    <w:p>
      <w:pPr>
        <w:spacing w:after="160" w:before="0" w:line="276"/>
        <w:jc w:val="both"/>
      </w:pPr>
      <w:r>
        <w:rPr>
          <w:rFonts w:ascii="Times New Roman" w:cs="Times New Roman" w:eastAsia="Times New Roman" w:hAnsi="Times New Roman"/>
          <w:sz w:val="24"/>
          <w:szCs w:val="24"/>
        </w:rPr>
        <w:t xml:space="preserve">The Smart Cities Mission, launched by the Ministry of Housing and Urban Affairs, aims to promote cities that provide core infrastructure, a clean and sustainable environment and a decent quality of life to their citizens through the application of “smart solutions”. As the SPV for Shivamogga, SSCL executes area-based development and pan-city projects in domains such as roads and mobility, water supply and drainage, public spaces and parks, solid waste management, e-governance and Information &amp; Communication Technology (ICT).</w:t>
      </w:r>
    </w:p>
    <w:p>
      <w:pPr>
        <w:spacing w:after="160" w:before="0" w:line="276"/>
        <w:jc w:val="both"/>
      </w:pPr>
      <w:r>
        <w:rPr>
          <w:rFonts w:ascii="Times New Roman" w:cs="Times New Roman" w:eastAsia="Times New Roman" w:hAnsi="Times New Roman"/>
          <w:sz w:val="24"/>
          <w:szCs w:val="24"/>
        </w:rPr>
        <w:t xml:space="preserve">SSCL works in close coordination with the </w:t>
      </w:r>
      <w:r>
        <w:rPr>
          <w:rFonts w:ascii="Times New Roman" w:cs="Times New Roman" w:eastAsia="Times New Roman" w:hAnsi="Times New Roman"/>
          <w:b/>
          <w:bCs/>
          <w:sz w:val="24"/>
          <w:szCs w:val="24"/>
        </w:rPr>
        <w:t xml:space="preserve">Shivamogga City Corporation</w:t>
      </w:r>
      <w:r>
        <w:rPr>
          <w:rFonts w:ascii="Times New Roman" w:cs="Times New Roman" w:eastAsia="Times New Roman" w:hAnsi="Times New Roman"/>
          <w:sz w:val="24"/>
          <w:szCs w:val="24"/>
        </w:rPr>
        <w:t xml:space="preserve">, the urban local body responsible for delivering municipal services such as roads, street lighting, water supply, drainage, sanitation, building approvals and public health to the citizens of Shivamogga. The Commissioner of the City Corporation also serves as the Managing Director of SSCL, which allows smart city initiatives to be aligned directly with the day-to-day operational priorities of the municipal administration.</w:t>
      </w:r>
    </w:p>
    <w:p>
      <w:pPr>
        <w:spacing w:after="160" w:before="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ICT division</w:t>
      </w:r>
      <w:r>
        <w:rPr>
          <w:rFonts w:ascii="Times New Roman" w:cs="Times New Roman" w:eastAsia="Times New Roman" w:hAnsi="Times New Roman"/>
          <w:sz w:val="24"/>
          <w:szCs w:val="24"/>
        </w:rPr>
        <w:t xml:space="preserve"> of SSCL is responsible for the digital initiatives of the city, including integrated command-and-control capabilities, citizen service delivery, data-driven monitoring of civic services and digital transformation of municipal workflows. The industrial training described in this report was carried out in this context, with a focus on improving grievance redressal, cross-departmental coordination and performance monitoring through a digital platform.</w:t>
      </w:r>
    </w:p>
    <w:p>
      <w:r>
        <w:br w:type="page"/>
      </w:r>
    </w:p>
    <w:p>
      <w:pPr>
        <w:pStyle w:val="Heading1"/>
        <w:spacing w:after="360"/>
        <w:jc w:val="center"/>
      </w:pPr>
      <w:r>
        <w:rPr>
          <w:rFonts w:ascii="Times New Roman" w:cs="Times New Roman" w:eastAsia="Times New Roman" w:hAnsi="Times New Roman"/>
          <w:b/>
          <w:bCs/>
          <w:sz w:val="32"/>
          <w:szCs w:val="32"/>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326"/>
        <w:gridCol w:w="20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Figure Number</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Description</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Page Number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Layered System Architecture of the CivilInc Platform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2.2</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Secure Sign-in Screen with Role-based Demo Accounts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2.3</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 Lifecycle and State Transitions in CivilInc</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2.4</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Citizen Complaint Registration Form with Location Details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2.5</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 Register with Search and Filters by Status, Priority and Category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2.6</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 Detail View with Status Update, Escalation and SLA Information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9</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2.7</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Commissioner Dashboard showing City-wide KPIs and High-Risk Wards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2.8</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Engineer Dashboard with Assigned Complaints and At-Risk Projects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2.9</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Coordinator Dashboard showing the Pending Triage Queue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2.10</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Citizen Dashboard with Quick Actions and Complaint Tracking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2.11</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Infrastructure Project Register with Progress, Delay Risk and Budget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2.12</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Project Detail with Progress Update and AI Risk Assessment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2.13</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GIS Map showing Geo-tagged Complaints colour-coded by Priority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2.14</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Analytics Module with Category, Project Status and Budget Metrics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2.15</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Department Overview with Complaints, Projects, SLA and Budget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2.16</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Inter-departmental Discussion Forum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2.17</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 Engineering and Machine-Learning Pipeline of CivilInc</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17</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2.18</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Summary of the Model Evaluation Report produced by the Training Pipeline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19</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2.19</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Live AI Triage of a New Complaint through the REST API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19</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2.20</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Commissioner AI Assistant answering a Backlog Query from Live Data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20</w:t>
            </w:r>
          </w:p>
        </w:tc>
      </w:tr>
    </w:tbl>
    <w:p>
      <w:r>
        <w:br w:type="page"/>
      </w:r>
    </w:p>
    <w:p>
      <w:pPr>
        <w:pStyle w:val="Heading1"/>
        <w:spacing w:after="360"/>
        <w:jc w:val="center"/>
      </w:pPr>
      <w:r>
        <w:rPr>
          <w:rFonts w:ascii="Times New Roman" w:cs="Times New Roman" w:eastAsia="Times New Roman" w:hAnsi="Times New Roman"/>
          <w:b/>
          <w:bCs/>
          <w:sz w:val="32"/>
          <w:szCs w:val="32"/>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326"/>
        <w:gridCol w:w="20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Table Number</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Description</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Page Number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2.1</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Stakeholders and their requirements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2.2</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Technology stack used in CivilInc</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2.3</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Core database tables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2.4</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Summary of the role-permission matrix</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2.5</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Datasets produced by the ETL pipeline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2.6</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AI systems implemented in CivilInc</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17</w:t>
            </w:r>
          </w:p>
        </w:tc>
      </w:tr>
    </w:tbl>
    <w:p>
      <w:pPr>
        <w:sectPr>
          <w:footerReference w:type="default" r:id="rId7"/>
          <w:pgSz w:w="11906" w:h="16838" w:orient="portrait"/>
          <w:pgMar w:top="1440" w:right="1440" w:bottom="1440" w:left="1440" w:header="708" w:footer="708" w:gutter="0"/>
          <w:pgNumType w:start="1" w:fmt="lowerRoman"/>
          <w:docGrid w:linePitch="360"/>
        </w:sectPr>
      </w:pPr>
    </w:p>
    <w:p>
      <w:pPr>
        <w:pStyle w:val="Heading1"/>
        <w:spacing w:after="120"/>
        <w:jc w:val="center"/>
      </w:pPr>
      <w:r>
        <w:rPr>
          <w:rFonts w:ascii="Times New Roman" w:cs="Times New Roman" w:eastAsia="Times New Roman" w:hAnsi="Times New Roman"/>
          <w:b/>
          <w:bCs/>
          <w:sz w:val="32"/>
          <w:szCs w:val="32"/>
        </w:rPr>
        <w:t xml:space="preserve">CHAPTER 1</w:t>
      </w:r>
    </w:p>
    <w:p>
      <w:pPr>
        <w:spacing w:after="360"/>
        <w:jc w:val="center"/>
      </w:pPr>
      <w:r>
        <w:rPr>
          <w:rFonts w:ascii="Times New Roman" w:cs="Times New Roman" w:eastAsia="Times New Roman" w:hAnsi="Times New Roman"/>
          <w:b/>
          <w:bCs/>
          <w:sz w:val="32"/>
          <w:szCs w:val="32"/>
        </w:rPr>
        <w:t xml:space="preserve">INTRODUCTION</w:t>
      </w:r>
    </w:p>
    <w:p>
      <w:pPr>
        <w:pStyle w:val="Heading2"/>
        <w:keepNext/>
        <w:spacing w:after="160" w:before="320"/>
      </w:pPr>
      <w:r>
        <w:rPr>
          <w:rFonts w:ascii="Times New Roman" w:cs="Times New Roman" w:eastAsia="Times New Roman" w:hAnsi="Times New Roman"/>
          <w:b/>
          <w:bCs/>
          <w:sz w:val="28"/>
          <w:szCs w:val="28"/>
        </w:rPr>
        <w:t xml:space="preserve">1.1 Introduction</w:t>
      </w:r>
    </w:p>
    <w:p>
      <w:pPr>
        <w:spacing w:after="160" w:before="0" w:line="276"/>
        <w:jc w:val="both"/>
      </w:pPr>
      <w:r>
        <w:rPr>
          <w:rFonts w:ascii="Times New Roman" w:cs="Times New Roman" w:eastAsia="Times New Roman" w:hAnsi="Times New Roman"/>
          <w:sz w:val="24"/>
          <w:szCs w:val="24"/>
        </w:rPr>
        <w:t xml:space="preserve">Indian cities are growing rapidly, and with this growth comes a steadily increasing volume of civic complaints: potholes, water supply disruptions, blocked drains, non-functional streetlights, uncleared garbage and unsafe buildings. In most urban local bodies these complaints are still received through a mix of phone calls, walk-in petitions, WhatsApp messages and isolated web portals. Each department maintains its own records, routing is manual, and there is little visibility into how long a complaint has been pending, whether service-level timelines are being met, or which wards are under the greatest stress.</w:t>
      </w:r>
    </w:p>
    <w:p>
      <w:pPr>
        <w:spacing w:after="160" w:before="0" w:line="276"/>
        <w:jc w:val="both"/>
      </w:pPr>
      <w:r>
        <w:rPr>
          <w:rFonts w:ascii="Times New Roman" w:cs="Times New Roman" w:eastAsia="Times New Roman" w:hAnsi="Times New Roman"/>
          <w:sz w:val="24"/>
          <w:szCs w:val="24"/>
        </w:rPr>
        <w:t xml:space="preserve">During my industrial training with </w:t>
      </w:r>
      <w:r>
        <w:rPr>
          <w:rFonts w:ascii="Times New Roman" w:cs="Times New Roman" w:eastAsia="Times New Roman" w:hAnsi="Times New Roman"/>
          <w:b/>
          <w:bCs/>
          <w:sz w:val="24"/>
          <w:szCs w:val="24"/>
        </w:rPr>
        <w:t xml:space="preserve">Shivamogga Smart City Limited</w:t>
      </w:r>
      <w:r>
        <w:rPr>
          <w:rFonts w:ascii="Times New Roman" w:cs="Times New Roman" w:eastAsia="Times New Roman" w:hAnsi="Times New Roman"/>
          <w:sz w:val="24"/>
          <w:szCs w:val="24"/>
        </w:rPr>
        <w:t xml:space="preserve">, I studied how grievances and infrastructure projects are handled across departments of the City Corporation, identified the bottlenecks in the existing process, and independently conceptualised, designed and developed a civic-tech prototype titled </w:t>
      </w:r>
      <w:r>
        <w:rPr>
          <w:rFonts w:ascii="Times New Roman" w:cs="Times New Roman" w:eastAsia="Times New Roman" w:hAnsi="Times New Roman"/>
          <w:b/>
          <w:bCs/>
          <w:sz w:val="24"/>
          <w:szCs w:val="24"/>
        </w:rPr>
        <w:t xml:space="preserve">“CivilInc”</w:t>
      </w:r>
      <w:r>
        <w:rPr>
          <w:rFonts w:ascii="Times New Roman" w:cs="Times New Roman" w:eastAsia="Times New Roman" w:hAnsi="Times New Roman"/>
          <w:sz w:val="24"/>
          <w:szCs w:val="24"/>
        </w:rPr>
        <w:t xml:space="preserve">. CivilInc is a full-stack, role-based platform that brings citizens, field engineers, departmental coordinators and the Commissioner onto a single system for complaint management, project monitoring, GIS-based visualisation, analytics and AI-assisted decision making.</w:t>
      </w:r>
    </w:p>
    <w:p>
      <w:pPr>
        <w:spacing w:after="160" w:before="0" w:line="276"/>
        <w:jc w:val="both"/>
      </w:pPr>
      <w:r>
        <w:rPr>
          <w:rFonts w:ascii="Times New Roman" w:cs="Times New Roman" w:eastAsia="Times New Roman" w:hAnsi="Times New Roman"/>
          <w:sz w:val="24"/>
          <w:szCs w:val="24"/>
        </w:rPr>
        <w:t xml:space="preserve">The platform was built using a modern technology stack: </w:t>
      </w:r>
      <w:r>
        <w:rPr>
          <w:rFonts w:ascii="Times New Roman" w:cs="Times New Roman" w:eastAsia="Times New Roman" w:hAnsi="Times New Roman"/>
          <w:b/>
          <w:bCs/>
          <w:sz w:val="24"/>
          <w:szCs w:val="24"/>
        </w:rPr>
        <w:t xml:space="preserve">Vue 3, TypeScript and Tailwind CSS</w:t>
      </w:r>
      <w:r>
        <w:rPr>
          <w:rFonts w:ascii="Times New Roman" w:cs="Times New Roman" w:eastAsia="Times New Roman" w:hAnsi="Times New Roman"/>
          <w:sz w:val="24"/>
          <w:szCs w:val="24"/>
        </w:rPr>
        <w:t xml:space="preserve"> for the frontend; </w:t>
      </w:r>
      <w:r>
        <w:rPr>
          <w:rFonts w:ascii="Times New Roman" w:cs="Times New Roman" w:eastAsia="Times New Roman" w:hAnsi="Times New Roman"/>
          <w:b/>
          <w:bCs/>
          <w:sz w:val="24"/>
          <w:szCs w:val="24"/>
        </w:rPr>
        <w:t xml:space="preserve">FastAPI, SQLAlchemy and PostgreSQL</w:t>
      </w:r>
      <w:r>
        <w:rPr>
          <w:rFonts w:ascii="Times New Roman" w:cs="Times New Roman" w:eastAsia="Times New Roman" w:hAnsi="Times New Roman"/>
          <w:sz w:val="24"/>
          <w:szCs w:val="24"/>
        </w:rPr>
        <w:t xml:space="preserve"> for the backend; and </w:t>
      </w:r>
      <w:r>
        <w:rPr>
          <w:rFonts w:ascii="Times New Roman" w:cs="Times New Roman" w:eastAsia="Times New Roman" w:hAnsi="Times New Roman"/>
          <w:b/>
          <w:bCs/>
          <w:sz w:val="24"/>
          <w:szCs w:val="24"/>
        </w:rPr>
        <w:t xml:space="preserve">scikit-learn, LightGBM and XGBoost</w:t>
      </w:r>
      <w:r>
        <w:rPr>
          <w:rFonts w:ascii="Times New Roman" w:cs="Times New Roman" w:eastAsia="Times New Roman" w:hAnsi="Times New Roman"/>
          <w:sz w:val="24"/>
          <w:szCs w:val="24"/>
        </w:rPr>
        <w:t xml:space="preserve"> for seven machine-learning systems that automatically categorise and prioritise complaints, predict resolution times, detect complaint clusters, forecast project delays and budget overruns, and compute ward-level risk scores. The prototype is containerised with Docker and configured for continuous integration using GitHub Actions.</w:t>
      </w:r>
    </w:p>
    <w:p>
      <w:pPr>
        <w:spacing w:after="160" w:before="0" w:line="276"/>
        <w:jc w:val="both"/>
      </w:pPr>
      <w:r>
        <w:rPr>
          <w:rFonts w:ascii="Times New Roman" w:cs="Times New Roman" w:eastAsia="Times New Roman" w:hAnsi="Times New Roman"/>
          <w:sz w:val="24"/>
          <w:szCs w:val="24"/>
        </w:rPr>
        <w:t xml:space="preserve">The prototype was reviewed by the Commissioner, Shivamogga City Corporation and Managing Director, Shivamogga Smart City Limited, who issued a letter of recommendation (No. SSCL/ICT/2025-26/32, dated 06-06-2025) noting that the platform “has the potential to deliver meaningful improvements if integrated into the existing systems of Shimoga City Corporation and Smart City company ltd Shimoga”, and recommending it for consideration in civic-tech innovation pipelines.</w:t>
      </w:r>
    </w:p>
    <w:p>
      <w:pPr>
        <w:pStyle w:val="Heading2"/>
        <w:keepNext/>
        <w:spacing w:after="160" w:before="320"/>
      </w:pPr>
      <w:r>
        <w:rPr>
          <w:rFonts w:ascii="Times New Roman" w:cs="Times New Roman" w:eastAsia="Times New Roman" w:hAnsi="Times New Roman"/>
          <w:b/>
          <w:bCs/>
          <w:sz w:val="28"/>
          <w:szCs w:val="28"/>
        </w:rPr>
        <w:t xml:space="preserve">1.2 Problem Statement</w:t>
      </w:r>
    </w:p>
    <w:p>
      <w:pPr>
        <w:spacing w:after="160" w:before="0" w:line="276"/>
        <w:jc w:val="both"/>
      </w:pPr>
      <w:r>
        <w:rPr>
          <w:rFonts w:ascii="Times New Roman" w:cs="Times New Roman" w:eastAsia="Times New Roman" w:hAnsi="Times New Roman"/>
          <w:sz w:val="24"/>
          <w:szCs w:val="24"/>
        </w:rPr>
        <w:t xml:space="preserve">Based on discussions with officials and a study of the existing grievance process, the following problems were identified: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Fragmented intake:</w:t>
      </w:r>
      <w:r>
        <w:rPr>
          <w:rFonts w:ascii="Times New Roman" w:cs="Times New Roman" w:eastAsia="Times New Roman" w:hAnsi="Times New Roman"/>
          <w:sz w:val="24"/>
          <w:szCs w:val="24"/>
        </w:rPr>
        <w:t xml:space="preserve"> complaints arrive through many channels and are not consolidated in one system, which makes duplicates common and tracking difficult.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Manual routing and triage:</w:t>
      </w:r>
      <w:r>
        <w:rPr>
          <w:rFonts w:ascii="Times New Roman" w:cs="Times New Roman" w:eastAsia="Times New Roman" w:hAnsi="Times New Roman"/>
          <w:sz w:val="24"/>
          <w:szCs w:val="24"/>
        </w:rPr>
        <w:t xml:space="preserve"> an official must read each complaint, decide its category, the responsible department and its urgency, which introduces delay and inconsistency.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No SLA visibility:</w:t>
      </w:r>
      <w:r>
        <w:rPr>
          <w:rFonts w:ascii="Times New Roman" w:cs="Times New Roman" w:eastAsia="Times New Roman" w:hAnsi="Times New Roman"/>
          <w:sz w:val="24"/>
          <w:szCs w:val="24"/>
        </w:rPr>
        <w:t xml:space="preserve"> there is no automatic tracking of how long a complaint has been open against the expected resolution time, and escalation is ad hoc.</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Weak cross-departmental coordination:</w:t>
      </w:r>
      <w:r>
        <w:rPr>
          <w:rFonts w:ascii="Times New Roman" w:cs="Times New Roman" w:eastAsia="Times New Roman" w:hAnsi="Times New Roman"/>
          <w:sz w:val="24"/>
          <w:szCs w:val="24"/>
        </w:rPr>
        <w:t xml:space="preserve"> issues such as a water-pipe burst damaging a road involve multiple departments, but there is no shared workspace for them.</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Limited oversight for leadership:</w:t>
      </w:r>
      <w:r>
        <w:rPr>
          <w:rFonts w:ascii="Times New Roman" w:cs="Times New Roman" w:eastAsia="Times New Roman" w:hAnsi="Times New Roman"/>
          <w:sz w:val="24"/>
          <w:szCs w:val="24"/>
        </w:rPr>
        <w:t xml:space="preserve"> the Commissioner lacks a real-time, city-wide view of complaint backlogs, project progress, budget utilisation and ward-level risk.</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Low transparency for citizens:</w:t>
      </w:r>
      <w:r>
        <w:rPr>
          <w:rFonts w:ascii="Times New Roman" w:cs="Times New Roman" w:eastAsia="Times New Roman" w:hAnsi="Times New Roman"/>
          <w:sz w:val="24"/>
          <w:szCs w:val="24"/>
        </w:rPr>
        <w:t xml:space="preserve"> citizens cannot easily see the status of their complaint or the progress of public works in their ward.</w:t>
      </w:r>
    </w:p>
    <w:p>
      <w:pPr>
        <w:pStyle w:val="Heading2"/>
        <w:keepNext/>
        <w:spacing w:after="160" w:before="320"/>
      </w:pPr>
      <w:r>
        <w:rPr>
          <w:rFonts w:ascii="Times New Roman" w:cs="Times New Roman" w:eastAsia="Times New Roman" w:hAnsi="Times New Roman"/>
          <w:b/>
          <w:bCs/>
          <w:sz w:val="28"/>
          <w:szCs w:val="28"/>
        </w:rPr>
        <w:t xml:space="preserve">1.3 Objectives of the Training Program</w:t>
      </w:r>
    </w:p>
    <w:p>
      <w:pPr>
        <w:spacing w:after="160" w:before="0" w:line="276"/>
        <w:jc w:val="both"/>
      </w:pPr>
      <w:r>
        <w:rPr>
          <w:rFonts w:ascii="Times New Roman" w:cs="Times New Roman" w:eastAsia="Times New Roman" w:hAnsi="Times New Roman"/>
          <w:sz w:val="24"/>
          <w:szCs w:val="24"/>
        </w:rPr>
        <w:t xml:space="preserve">The key objectives of the industrial training were: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understand the organisational structure, service delivery processes and grievance-handling workflows of an urban local body and a Smart City SPV.</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translate these real-world requirements into a software design with clearly defined user roles, permissions and workflows.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design and implement an </w:t>
      </w:r>
      <w:r>
        <w:rPr>
          <w:rFonts w:ascii="Times New Roman" w:cs="Times New Roman" w:eastAsia="Times New Roman" w:hAnsi="Times New Roman"/>
          <w:b/>
          <w:bCs/>
          <w:sz w:val="24"/>
          <w:szCs w:val="24"/>
        </w:rPr>
        <w:t xml:space="preserve">end-to-end digital grievance redressal system</w:t>
      </w:r>
      <w:r>
        <w:rPr>
          <w:rFonts w:ascii="Times New Roman" w:cs="Times New Roman" w:eastAsia="Times New Roman" w:hAnsi="Times New Roman"/>
          <w:sz w:val="24"/>
          <w:szCs w:val="24"/>
        </w:rPr>
        <w:t xml:space="preserve"> covering complaint registration, triage, assignment, escalation, resolution and citizen feedback.</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enable </w:t>
      </w:r>
      <w:r>
        <w:rPr>
          <w:rFonts w:ascii="Times New Roman" w:cs="Times New Roman" w:eastAsia="Times New Roman" w:hAnsi="Times New Roman"/>
          <w:b/>
          <w:bCs/>
          <w:sz w:val="24"/>
          <w:szCs w:val="24"/>
        </w:rPr>
        <w:t xml:space="preserve">cross-departmental coordination</w:t>
      </w:r>
      <w:r>
        <w:rPr>
          <w:rFonts w:ascii="Times New Roman" w:cs="Times New Roman" w:eastAsia="Times New Roman" w:hAnsi="Times New Roman"/>
          <w:sz w:val="24"/>
          <w:szCs w:val="24"/>
        </w:rPr>
        <w:t xml:space="preserve"> through a centralised platform with shared dashboards, a discussion forum and real-time notifications.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build </w:t>
      </w:r>
      <w:r>
        <w:rPr>
          <w:rFonts w:ascii="Times New Roman" w:cs="Times New Roman" w:eastAsia="Times New Roman" w:hAnsi="Times New Roman"/>
          <w:b/>
          <w:bCs/>
          <w:sz w:val="24"/>
          <w:szCs w:val="24"/>
        </w:rPr>
        <w:t xml:space="preserve">real-time analytics, dashboards and GIS maps</w:t>
      </w:r>
      <w:r>
        <w:rPr>
          <w:rFonts w:ascii="Times New Roman" w:cs="Times New Roman" w:eastAsia="Times New Roman" w:hAnsi="Times New Roman"/>
          <w:sz w:val="24"/>
          <w:szCs w:val="24"/>
        </w:rPr>
        <w:t xml:space="preserve"> for performance tracking and data-driven decision-making.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apply data engineering and machine learning to automate triage and to predict infrastructure risks such as project delays and budget overruns.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follow industry practices in security (JWT, RBAC, rate limiting, audit logging), testing, containerisation and CI/CD.</w:t>
      </w:r>
    </w:p>
    <w:p>
      <w:pPr>
        <w:pStyle w:val="Heading2"/>
        <w:keepNext/>
        <w:spacing w:after="160" w:before="320"/>
      </w:pPr>
      <w:r>
        <w:rPr>
          <w:rFonts w:ascii="Times New Roman" w:cs="Times New Roman" w:eastAsia="Times New Roman" w:hAnsi="Times New Roman"/>
          <w:b/>
          <w:bCs/>
          <w:sz w:val="28"/>
          <w:szCs w:val="28"/>
        </w:rPr>
        <w:t xml:space="preserve">1.4 Training Methodology</w:t>
      </w:r>
    </w:p>
    <w:p>
      <w:pPr>
        <w:spacing w:after="160" w:before="0" w:line="276"/>
        <w:jc w:val="both"/>
      </w:pPr>
      <w:r>
        <w:rPr>
          <w:rFonts w:ascii="Times New Roman" w:cs="Times New Roman" w:eastAsia="Times New Roman" w:hAnsi="Times New Roman"/>
          <w:sz w:val="24"/>
          <w:szCs w:val="24"/>
        </w:rPr>
        <w:t xml:space="preserve">The industrial training followed a structured, phased approach combining field study, design and hands-on implementation.</w:t>
      </w:r>
    </w:p>
    <w:p>
      <w:pPr>
        <w:spacing w:after="160" w:before="0" w:line="276"/>
        <w:jc w:val="both"/>
      </w:pPr>
      <w:r>
        <w:rPr>
          <w:rFonts w:ascii="Times New Roman" w:cs="Times New Roman" w:eastAsia="Times New Roman" w:hAnsi="Times New Roman"/>
          <w:b/>
          <w:bCs/>
          <w:sz w:val="24"/>
          <w:szCs w:val="24"/>
        </w:rPr>
        <w:t xml:space="preserve">Phase 1 – Domain study and requirement gathering.</w:t>
      </w:r>
      <w:r>
        <w:rPr>
          <w:rFonts w:ascii="Times New Roman" w:cs="Times New Roman" w:eastAsia="Times New Roman" w:hAnsi="Times New Roman"/>
          <w:sz w:val="24"/>
          <w:szCs w:val="24"/>
        </w:rPr>
        <w:t xml:space="preserve"> The initial phase focused on understanding how the City Corporation and SSCL operate: the departments involved in civic services, the types of complaints received, the informal service-level expectations for each department, the escalation hierarchy and the reporting needs of senior officials. Interactions with officials helped identify the four primary user personas of the system – the </w:t>
      </w:r>
      <w:r>
        <w:rPr>
          <w:rFonts w:ascii="Times New Roman" w:cs="Times New Roman" w:eastAsia="Times New Roman" w:hAnsi="Times New Roman"/>
          <w:b/>
          <w:bCs/>
          <w:sz w:val="24"/>
          <w:szCs w:val="24"/>
        </w:rPr>
        <w:t xml:space="preserve">Commissioner</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Engineer</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Coordinator</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Citizen</w:t>
      </w:r>
      <w:r>
        <w:rPr>
          <w:rFonts w:ascii="Times New Roman" w:cs="Times New Roman" w:eastAsia="Times New Roman" w:hAnsi="Times New Roman"/>
          <w:sz w:val="24"/>
          <w:szCs w:val="24"/>
        </w:rPr>
        <w:t xml:space="preserve">.</w:t>
      </w:r>
    </w:p>
    <w:p>
      <w:pPr>
        <w:spacing w:after="160" w:before="0" w:line="276"/>
        <w:jc w:val="both"/>
      </w:pPr>
      <w:r>
        <w:rPr>
          <w:rFonts w:ascii="Times New Roman" w:cs="Times New Roman" w:eastAsia="Times New Roman" w:hAnsi="Times New Roman"/>
          <w:b/>
          <w:bCs/>
          <w:sz w:val="24"/>
          <w:szCs w:val="24"/>
        </w:rPr>
        <w:t xml:space="preserve">Phase 2 – System design.</w:t>
      </w:r>
      <w:r>
        <w:rPr>
          <w:rFonts w:ascii="Times New Roman" w:cs="Times New Roman" w:eastAsia="Times New Roman" w:hAnsi="Times New Roman"/>
          <w:sz w:val="24"/>
          <w:szCs w:val="24"/>
        </w:rPr>
        <w:t xml:space="preserve"> In the second phase, the requirements were converted into a layered architecture, a relational database schema, a role-permission matrix, a complaint lifecycle state machine and a REST API contract. Technology choices were made with emphasis on open-source tools, scalability and ease of deployment for a government environment.</w:t>
      </w:r>
    </w:p>
    <w:p>
      <w:pPr>
        <w:spacing w:after="160" w:before="0" w:line="276"/>
        <w:jc w:val="both"/>
      </w:pPr>
      <w:r>
        <w:rPr>
          <w:rFonts w:ascii="Times New Roman" w:cs="Times New Roman" w:eastAsia="Times New Roman" w:hAnsi="Times New Roman"/>
          <w:b/>
          <w:bCs/>
          <w:sz w:val="24"/>
          <w:szCs w:val="24"/>
        </w:rPr>
        <w:t xml:space="preserve">Phase 3 – Data engineering and AI.</w:t>
      </w:r>
      <w:r>
        <w:rPr>
          <w:rFonts w:ascii="Times New Roman" w:cs="Times New Roman" w:eastAsia="Times New Roman" w:hAnsi="Times New Roman"/>
          <w:sz w:val="24"/>
          <w:szCs w:val="24"/>
        </w:rPr>
        <w:t xml:space="preserve"> Since live municipal data could not be shared for a student prototype, a realistic dataset was engineered from public reference sources and published statistical distributions. ETL pipelines, data quality checks and seven machine-learning systems were developed and evaluated on this data.</w:t>
      </w:r>
    </w:p>
    <w:p>
      <w:pPr>
        <w:spacing w:after="160" w:before="0" w:line="276"/>
        <w:jc w:val="both"/>
      </w:pPr>
      <w:r>
        <w:rPr>
          <w:rFonts w:ascii="Times New Roman" w:cs="Times New Roman" w:eastAsia="Times New Roman" w:hAnsi="Times New Roman"/>
          <w:b/>
          <w:bCs/>
          <w:sz w:val="24"/>
          <w:szCs w:val="24"/>
        </w:rPr>
        <w:t xml:space="preserve">Phase 4 – Implementation, integration and review.</w:t>
      </w:r>
      <w:r>
        <w:rPr>
          <w:rFonts w:ascii="Times New Roman" w:cs="Times New Roman" w:eastAsia="Times New Roman" w:hAnsi="Times New Roman"/>
          <w:sz w:val="24"/>
          <w:szCs w:val="24"/>
        </w:rPr>
        <w:t xml:space="preserve"> The backend, frontend and AI inference layer were implemented and integrated, role-specific dashboards were built, and the system was containerised and set up for CI/CD. The completed prototype was demonstrated and its scope and features were reviewed by the Commissioner, leading to the letter of recommendation.</w:t>
      </w:r>
    </w:p>
    <w:p>
      <w:r>
        <w:br w:type="page"/>
      </w:r>
    </w:p>
    <w:p>
      <w:pPr>
        <w:pStyle w:val="Heading1"/>
        <w:spacing w:after="120"/>
        <w:jc w:val="center"/>
      </w:pPr>
      <w:r>
        <w:rPr>
          <w:rFonts w:ascii="Times New Roman" w:cs="Times New Roman" w:eastAsia="Times New Roman" w:hAnsi="Times New Roman"/>
          <w:b/>
          <w:bCs/>
          <w:sz w:val="32"/>
          <w:szCs w:val="32"/>
        </w:rPr>
        <w:t xml:space="preserve">CHAPTER 2</w:t>
      </w:r>
    </w:p>
    <w:p>
      <w:pPr>
        <w:spacing w:after="360"/>
        <w:jc w:val="center"/>
      </w:pPr>
      <w:r>
        <w:rPr>
          <w:rFonts w:ascii="Times New Roman" w:cs="Times New Roman" w:eastAsia="Times New Roman" w:hAnsi="Times New Roman"/>
          <w:b/>
          <w:bCs/>
          <w:sz w:val="32"/>
          <w:szCs w:val="32"/>
        </w:rPr>
        <w:t xml:space="preserve">WORK DONE DURING THE TRAINING PERIOD</w:t>
      </w:r>
    </w:p>
    <w:p>
      <w:pPr>
        <w:pStyle w:val="Heading2"/>
        <w:keepNext/>
        <w:spacing w:after="160" w:before="320"/>
      </w:pPr>
      <w:r>
        <w:rPr>
          <w:rFonts w:ascii="Times New Roman" w:cs="Times New Roman" w:eastAsia="Times New Roman" w:hAnsi="Times New Roman"/>
          <w:b/>
          <w:bCs/>
          <w:sz w:val="28"/>
          <w:szCs w:val="28"/>
        </w:rPr>
        <w:t xml:space="preserve">2.1 Study of the Existing Grievance Process and Requirements</w:t>
      </w:r>
    </w:p>
    <w:p>
      <w:pPr>
        <w:spacing w:after="160" w:before="0" w:line="276"/>
        <w:jc w:val="both"/>
      </w:pPr>
      <w:r>
        <w:rPr>
          <w:rFonts w:ascii="Times New Roman" w:cs="Times New Roman" w:eastAsia="Times New Roman" w:hAnsi="Times New Roman"/>
          <w:sz w:val="24"/>
          <w:szCs w:val="24"/>
        </w:rPr>
        <w:t xml:space="preserve">The first part of the training focused on understanding the current way in which civic grievances move through the municipal system. A typical complaint – for example a broken streetlight or a burst water pipe – is reported by a citizen through a phone call, a visit to the ward office, a social-media message or a portal. It is then manually forwarded to the concerned department, where an engineer is eventually assigned to inspect and fix it. Status updates are rarely communicated back to the citizen, and the senior administration typically sees consolidated figures only in periodic review meetings.</w:t>
      </w:r>
    </w:p>
    <w:p>
      <w:pPr>
        <w:spacing w:after="160" w:before="0" w:line="276"/>
        <w:jc w:val="both"/>
      </w:pPr>
      <w:r>
        <w:rPr>
          <w:rFonts w:ascii="Times New Roman" w:cs="Times New Roman" w:eastAsia="Times New Roman" w:hAnsi="Times New Roman"/>
          <w:sz w:val="24"/>
          <w:szCs w:val="24"/>
        </w:rPr>
        <w:t xml:space="preserve">From this study, the functional requirements of the platform were defined for each stakeholder:</w:t>
      </w:r>
    </w:p>
    <w:p>
      <w:pPr>
        <w:keepNext/>
        <w:spacing w:after="100" w:before="160"/>
        <w:jc w:val="center"/>
      </w:pPr>
      <w:r>
        <w:rPr>
          <w:rFonts w:ascii="Times New Roman" w:cs="Times New Roman" w:eastAsia="Times New Roman" w:hAnsi="Times New Roman"/>
          <w:b/>
          <w:bCs/>
          <w:sz w:val="22"/>
          <w:szCs w:val="22"/>
        </w:rPr>
        <w:t xml:space="preserve">Table 2.1: Stakeholders and their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Stakeholder</w:t>
            </w:r>
          </w:p>
        </w:tc>
        <w:tc>
          <w:tcPr>
            <w:tcW w:type="dxa" w:w="7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Key requirements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Citizen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Register complaints with location and description; track status; receive notifications; rate the resolution; view public projects in the ward; take part in public discussions.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Coordinator</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Review and validate incoming complaints; correct category and priority; assign to the right department or officer; monitor the department queue.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Engineer</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View assigned complaints; update progress and resolution notes; manage infrastructure projects (progress, cost); see AI risk alerts for projects.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Commissioner</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City-wide dashboard of complaints, SLA breaches, projects and budgets; department performance; ward-level risk; ability to escalate; natural-language assistant for quick insights.</w:t>
            </w:r>
          </w:p>
        </w:tc>
      </w:tr>
    </w:tbl>
    <w:p>
      <w:pPr>
        <w:spacing w:after="240" w:before="100"/>
        <w:jc w:val="center"/>
      </w:pPr>
      <w:r>
        <w:rPr>
          <w:rFonts w:ascii="Times New Roman" w:cs="Times New Roman" w:eastAsia="Times New Roman" w:hAnsi="Times New Roman"/>
          <w:sz w:val="22"/>
          <w:szCs w:val="22"/>
        </w:rPr>
        <w:t xml:space="preserve"/>
      </w:r>
    </w:p>
    <w:p>
      <w:pPr>
        <w:spacing w:after="160" w:before="0" w:line="276"/>
        <w:jc w:val="both"/>
      </w:pPr>
      <w:r>
        <w:rPr>
          <w:rFonts w:ascii="Times New Roman" w:cs="Times New Roman" w:eastAsia="Times New Roman" w:hAnsi="Times New Roman"/>
          <w:sz w:val="24"/>
          <w:szCs w:val="24"/>
        </w:rPr>
        <w:t xml:space="preserve">Non-functional requirements included security of citizen data, role-based access control, auditability of every action, responsiveness on low-bandwidth connections, and the ability to deploy the system on standard cloud or on-premise infrastructure.</w:t>
      </w:r>
    </w:p>
    <w:p>
      <w:pPr>
        <w:pStyle w:val="Heading2"/>
        <w:keepNext/>
        <w:spacing w:after="160" w:before="320"/>
      </w:pPr>
      <w:r>
        <w:rPr>
          <w:rFonts w:ascii="Times New Roman" w:cs="Times New Roman" w:eastAsia="Times New Roman" w:hAnsi="Times New Roman"/>
          <w:b/>
          <w:bCs/>
          <w:sz w:val="28"/>
          <w:szCs w:val="28"/>
        </w:rPr>
        <w:t xml:space="preserve">2.2 System Architecture</w:t>
      </w:r>
    </w:p>
    <w:p>
      <w:pPr>
        <w:spacing w:after="160" w:before="0" w:line="276"/>
        <w:jc w:val="both"/>
      </w:pPr>
      <w:r>
        <w:rPr>
          <w:rFonts w:ascii="Times New Roman" w:cs="Times New Roman" w:eastAsia="Times New Roman" w:hAnsi="Times New Roman"/>
          <w:sz w:val="24"/>
          <w:szCs w:val="24"/>
        </w:rPr>
        <w:t xml:space="preserve">CivilInc follows a </w:t>
      </w:r>
      <w:r>
        <w:rPr>
          <w:rFonts w:ascii="Times New Roman" w:cs="Times New Roman" w:eastAsia="Times New Roman" w:hAnsi="Times New Roman"/>
          <w:b/>
          <w:bCs/>
          <w:sz w:val="24"/>
          <w:szCs w:val="24"/>
        </w:rPr>
        <w:t xml:space="preserve">layered, service-oriented architecture</w:t>
      </w:r>
      <w:r>
        <w:rPr>
          <w:rFonts w:ascii="Times New Roman" w:cs="Times New Roman" w:eastAsia="Times New Roman" w:hAnsi="Times New Roman"/>
          <w:sz w:val="24"/>
          <w:szCs w:val="24"/>
        </w:rPr>
        <w:t xml:space="preserve">. The presentation layer is a single-page application built with Vue 3. It communicates with a FastAPI backend over REST (JSON) for regular operations and over WebSockets for real-time events. The backend is organised into API routers, a service layer containing business logic (SLA computation, workflow transitions, feedback, auditing) and a repository layer that encapsulates all database access through SQLAlchemy 2.0 with asynchronous drivers.</w:t>
      </w:r>
    </w:p>
    <w:p>
      <w:pPr>
        <w:spacing w:after="160" w:before="0" w:line="276"/>
        <w:jc w:val="both"/>
      </w:pPr>
      <w:r>
        <w:rPr>
          <w:rFonts w:ascii="Times New Roman" w:cs="Times New Roman" w:eastAsia="Times New Roman" w:hAnsi="Times New Roman"/>
          <w:sz w:val="24"/>
          <w:szCs w:val="24"/>
        </w:rPr>
        <w:t xml:space="preserve">Persistent data is stored in </w:t>
      </w:r>
      <w:r>
        <w:rPr>
          <w:rFonts w:ascii="Times New Roman" w:cs="Times New Roman" w:eastAsia="Times New Roman" w:hAnsi="Times New Roman"/>
          <w:b/>
          <w:bCs/>
          <w:sz w:val="24"/>
          <w:szCs w:val="24"/>
        </w:rPr>
        <w:t xml:space="preserve">PostgreSQL 16</w:t>
      </w:r>
      <w:r>
        <w:rPr>
          <w:rFonts w:ascii="Times New Roman" w:cs="Times New Roman" w:eastAsia="Times New Roman" w:hAnsi="Times New Roman"/>
          <w:sz w:val="24"/>
          <w:szCs w:val="24"/>
        </w:rPr>
        <w:t xml:space="preserve">, while </w:t>
      </w:r>
      <w:r>
        <w:rPr>
          <w:rFonts w:ascii="Times New Roman" w:cs="Times New Roman" w:eastAsia="Times New Roman" w:hAnsi="Times New Roman"/>
          <w:b/>
          <w:bCs/>
          <w:sz w:val="24"/>
          <w:szCs w:val="24"/>
        </w:rPr>
        <w:t xml:space="preserve">Redis 7</w:t>
      </w:r>
      <w:r>
        <w:rPr>
          <w:rFonts w:ascii="Times New Roman" w:cs="Times New Roman" w:eastAsia="Times New Roman" w:hAnsi="Times New Roman"/>
          <w:sz w:val="24"/>
          <w:szCs w:val="24"/>
        </w:rPr>
        <w:t xml:space="preserve"> is provisioned for caching and publish-subscribe messaging. An independent AI/ML layer contains the training pipelines and serialised models, which are loaded lazily by an inference service inside the backend. All components are containerised using Docker Compose, with an Nginx configuration for production and a GitHub Actions workflow for automated testing and deployment.</w:t>
      </w:r>
    </w:p>
    <w:p>
      <w:pPr>
        <w:keepNext/>
        <w:spacing w:after="80" w:before="120"/>
        <w:jc w:val="center"/>
      </w:pPr>
      <w:r>
        <w:drawing>
          <wp:inline distT="0" distB="0" distL="0" distR="0">
            <wp:extent cx="566737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52425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 Layered System Architecture of the CivilInc Platform.</w:t>
      </w:r>
    </w:p>
    <w:p>
      <w:pPr>
        <w:keepNext/>
        <w:spacing w:after="100" w:before="160"/>
        <w:jc w:val="center"/>
      </w:pPr>
      <w:r>
        <w:rPr>
          <w:rFonts w:ascii="Times New Roman" w:cs="Times New Roman" w:eastAsia="Times New Roman" w:hAnsi="Times New Roman"/>
          <w:b/>
          <w:bCs/>
          <w:sz w:val="22"/>
          <w:szCs w:val="22"/>
        </w:rPr>
        <w:t xml:space="preserve">Table 2.2: Technology stack used in CivilInc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Layer</w:t>
            </w:r>
          </w:p>
        </w:tc>
        <w:tc>
          <w:tcPr>
            <w:tcW w:type="dxa" w:w="6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Technologies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Vue 3 (Composition API), TypeScript, Vite, Tailwind CSS, Pinia (state management), Vue Router, Axios, Leaflet (maps), Lucide icons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Backend</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Python, FastAPI, Uvicorn/Gunicorn, Pydantic v2, SQLAlchemy 2.0 (async), Alembic migrations, AsyncPG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Security</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JWT (python-jose), bcrypt password hashing (passlib), role-based access control, rate limiting, CORS, structured logging (structlog)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Database &amp; cache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PostgreSQL 16, Redis 7</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AI / Data</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pandas, NumPy, scikit-learn, LightGBM, XGBoost, joblib, NLTK; Anthropic Claude API (optional) for the assistant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DevOps</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Docker, Docker Compose, Nginx, GitHub Actions, Railway (API) and Vercel (UI) deployment targets, Prometheus client for metrics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Testing</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pytest, pytest-asyncio, httpx AsyncClient, factory-boy, pytest-cov</w:t>
            </w:r>
          </w:p>
        </w:tc>
      </w:tr>
    </w:tbl>
    <w:p>
      <w:pPr>
        <w:spacing w:after="240" w:before="100"/>
        <w:jc w:val="center"/>
      </w:pPr>
      <w:r>
        <w:rPr>
          <w:rFonts w:ascii="Times New Roman" w:cs="Times New Roman" w:eastAsia="Times New Roman" w:hAnsi="Times New Roman"/>
          <w:sz w:val="22"/>
          <w:szCs w:val="22"/>
        </w:rPr>
        <w:t xml:space="preserve"/>
      </w:r>
    </w:p>
    <w:p>
      <w:pPr>
        <w:pStyle w:val="Heading2"/>
        <w:keepNext/>
        <w:spacing w:after="160" w:before="320"/>
      </w:pPr>
      <w:r>
        <w:rPr>
          <w:rFonts w:ascii="Times New Roman" w:cs="Times New Roman" w:eastAsia="Times New Roman" w:hAnsi="Times New Roman"/>
          <w:b/>
          <w:bCs/>
          <w:sz w:val="28"/>
          <w:szCs w:val="28"/>
        </w:rPr>
        <w:t xml:space="preserve">2.3 Database Design</w:t>
      </w:r>
    </w:p>
    <w:p>
      <w:pPr>
        <w:spacing w:after="160" w:before="0" w:line="276"/>
        <w:jc w:val="both"/>
      </w:pPr>
      <w:r>
        <w:rPr>
          <w:rFonts w:ascii="Times New Roman" w:cs="Times New Roman" w:eastAsia="Times New Roman" w:hAnsi="Times New Roman"/>
          <w:sz w:val="24"/>
          <w:szCs w:val="24"/>
        </w:rPr>
        <w:t xml:space="preserve">The relational schema was designed to model the municipal domain while remaining flexible for future extension. All entities inherit from a common base model that provides a </w:t>
      </w:r>
      <w:r>
        <w:rPr>
          <w:rFonts w:ascii="Times New Roman" w:cs="Times New Roman" w:eastAsia="Times New Roman" w:hAnsi="Times New Roman"/>
          <w:b/>
          <w:bCs/>
          <w:sz w:val="24"/>
          <w:szCs w:val="24"/>
        </w:rPr>
        <w:t xml:space="preserve">UUID primary key</w:t>
      </w:r>
      <w:r>
        <w:rPr>
          <w:rFonts w:ascii="Times New Roman" w:cs="Times New Roman" w:eastAsia="Times New Roman" w:hAnsi="Times New Roman"/>
          <w:sz w:val="24"/>
          <w:szCs w:val="24"/>
        </w:rPr>
        <w:t xml:space="preserve">, creation and update </w:t>
      </w:r>
      <w:r>
        <w:rPr>
          <w:rFonts w:ascii="Times New Roman" w:cs="Times New Roman" w:eastAsia="Times New Roman" w:hAnsi="Times New Roman"/>
          <w:b/>
          <w:bCs/>
          <w:sz w:val="24"/>
          <w:szCs w:val="24"/>
        </w:rPr>
        <w:t xml:space="preserve">timestamps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soft-delete</w:t>
      </w:r>
      <w:r>
        <w:rPr>
          <w:rFonts w:ascii="Times New Roman" w:cs="Times New Roman" w:eastAsia="Times New Roman" w:hAnsi="Times New Roman"/>
          <w:sz w:val="24"/>
          <w:szCs w:val="24"/>
        </w:rPr>
        <w:t xml:space="preserve"> support so that records are never physically removed – an important requirement for auditability in government systems. Frequently filtered combinations of columns (for example status and priority, or ward and category) are covered by composite indexes. Schema changes are versioned using Alembic migrations.</w:t>
      </w:r>
    </w:p>
    <w:p>
      <w:pPr>
        <w:keepNext/>
        <w:spacing w:after="100" w:before="160"/>
        <w:jc w:val="center"/>
      </w:pPr>
      <w:r>
        <w:rPr>
          <w:rFonts w:ascii="Times New Roman" w:cs="Times New Roman" w:eastAsia="Times New Roman" w:hAnsi="Times New Roman"/>
          <w:b/>
          <w:bCs/>
          <w:sz w:val="22"/>
          <w:szCs w:val="22"/>
        </w:rPr>
        <w:t xml:space="preserve">Table 2.3: Core 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Table</w:t>
            </w:r>
          </w:p>
        </w:tc>
        <w:tc>
          <w:tcPr>
            <w:tcW w:type="dxa" w:w="6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Purpose and key fields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users</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All actors of the system; email, phone, hashed password, role, department, ward, preferences, failed-login counter and lock-out time.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departments</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Municipal departments (Roads, Water Supply &amp; Sewerage, Electricity &amp; Streetlights, Parks, Buildings &amp; Planning, Solid Waste Management) with SLA hours, budget and performance counters.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complaints</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 content, category, status, priority, location (ward, zone, latitude/longitude), assignee, SLA due time and breach flag, escalation level, AI predictions and citizen feedback.</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complaint_history</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Every status change or comment on a complaint, with the actor and timestamp – the complaint’s timeline.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projects</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Infrastructure works with phase, schedule, estimated/approved/actual cost, completion %, contractor, source of funds, GIS geometry and AI risk scores.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forum_threads, forum_comments</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Cross-departmental and public discussion threads with pinning and moderation.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notifications</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Per-user notifications with read/unread state.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audit_logs</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Immutable record of sensitive actions for accountability.</w:t>
            </w:r>
          </w:p>
        </w:tc>
      </w:tr>
    </w:tbl>
    <w:p>
      <w:pPr>
        <w:spacing w:after="240" w:before="100"/>
        <w:jc w:val="center"/>
      </w:pPr>
      <w:r>
        <w:rPr>
          <w:rFonts w:ascii="Times New Roman" w:cs="Times New Roman" w:eastAsia="Times New Roman" w:hAnsi="Times New Roman"/>
          <w:sz w:val="22"/>
          <w:szCs w:val="22"/>
        </w:rPr>
        <w:t xml:space="preserve"/>
      </w:r>
    </w:p>
    <w:p>
      <w:pPr>
        <w:pStyle w:val="Heading2"/>
        <w:keepNext/>
        <w:spacing w:after="160" w:before="320"/>
      </w:pPr>
      <w:r>
        <w:rPr>
          <w:rFonts w:ascii="Times New Roman" w:cs="Times New Roman" w:eastAsia="Times New Roman" w:hAnsi="Times New Roman"/>
          <w:b/>
          <w:bCs/>
          <w:sz w:val="28"/>
          <w:szCs w:val="28"/>
        </w:rPr>
        <w:t xml:space="preserve">2.4 Authentication and Role-Based Access Control</w:t>
      </w:r>
    </w:p>
    <w:p>
      <w:pPr>
        <w:spacing w:after="160" w:before="0" w:line="276"/>
        <w:jc w:val="both"/>
      </w:pPr>
      <w:r>
        <w:rPr>
          <w:rFonts w:ascii="Times New Roman" w:cs="Times New Roman" w:eastAsia="Times New Roman" w:hAnsi="Times New Roman"/>
          <w:sz w:val="24"/>
          <w:szCs w:val="24"/>
        </w:rPr>
        <w:t xml:space="preserve">Security was treated as a first-class requirement. Users authenticate with email and password; passwords are stored only as </w:t>
      </w:r>
      <w:r>
        <w:rPr>
          <w:rFonts w:ascii="Times New Roman" w:cs="Times New Roman" w:eastAsia="Times New Roman" w:hAnsi="Times New Roman"/>
          <w:b/>
          <w:bCs/>
          <w:sz w:val="24"/>
          <w:szCs w:val="24"/>
        </w:rPr>
        <w:t xml:space="preserve">bcrypt</w:t>
      </w:r>
      <w:r>
        <w:rPr>
          <w:rFonts w:ascii="Times New Roman" w:cs="Times New Roman" w:eastAsia="Times New Roman" w:hAnsi="Times New Roman"/>
          <w:sz w:val="24"/>
          <w:szCs w:val="24"/>
        </w:rPr>
        <w:t xml:space="preserve"> hashes. On successful login the API issues a short-lived </w:t>
      </w:r>
      <w:r>
        <w:rPr>
          <w:rFonts w:ascii="Times New Roman" w:cs="Times New Roman" w:eastAsia="Times New Roman" w:hAnsi="Times New Roman"/>
          <w:b/>
          <w:bCs/>
          <w:sz w:val="24"/>
          <w:szCs w:val="24"/>
        </w:rPr>
        <w:t xml:space="preserve">JWT access token</w:t>
      </w:r>
      <w:r>
        <w:rPr>
          <w:rFonts w:ascii="Times New Roman" w:cs="Times New Roman" w:eastAsia="Times New Roman" w:hAnsi="Times New Roman"/>
          <w:sz w:val="24"/>
          <w:szCs w:val="24"/>
        </w:rPr>
        <w:t xml:space="preserve"> (30 minutes) carrying the user’s role and department, together with a longer-lived </w:t>
      </w:r>
      <w:r>
        <w:rPr>
          <w:rFonts w:ascii="Times New Roman" w:cs="Times New Roman" w:eastAsia="Times New Roman" w:hAnsi="Times New Roman"/>
          <w:b/>
          <w:bCs/>
          <w:sz w:val="24"/>
          <w:szCs w:val="24"/>
        </w:rPr>
        <w:t xml:space="preserve">refresh token</w:t>
      </w:r>
      <w:r>
        <w:rPr>
          <w:rFonts w:ascii="Times New Roman" w:cs="Times New Roman" w:eastAsia="Times New Roman" w:hAnsi="Times New Roman"/>
          <w:sz w:val="24"/>
          <w:szCs w:val="24"/>
        </w:rPr>
        <w:t xml:space="preserve"> (7 days). The frontend attaches the access token to every request through an Axios interceptor and transparently refreshes it when it expires.</w:t>
      </w:r>
    </w:p>
    <w:p>
      <w:pPr>
        <w:spacing w:after="160" w:before="0" w:line="276"/>
        <w:jc w:val="both"/>
      </w:pPr>
      <w:r>
        <w:rPr>
          <w:rFonts w:ascii="Times New Roman" w:cs="Times New Roman" w:eastAsia="Times New Roman" w:hAnsi="Times New Roman"/>
          <w:sz w:val="24"/>
          <w:szCs w:val="24"/>
        </w:rPr>
        <w:t xml:space="preserve">Authorisation is enforced through a </w:t>
      </w:r>
      <w:r>
        <w:rPr>
          <w:rFonts w:ascii="Times New Roman" w:cs="Times New Roman" w:eastAsia="Times New Roman" w:hAnsi="Times New Roman"/>
          <w:b/>
          <w:bCs/>
          <w:sz w:val="24"/>
          <w:szCs w:val="24"/>
        </w:rPr>
        <w:t xml:space="preserve">permission matrix</w:t>
      </w:r>
      <w:r>
        <w:rPr>
          <w:rFonts w:ascii="Times New Roman" w:cs="Times New Roman" w:eastAsia="Times New Roman" w:hAnsi="Times New Roman"/>
          <w:sz w:val="24"/>
          <w:szCs w:val="24"/>
        </w:rPr>
        <w:t xml:space="preserve"> of 55 fine-grained permissions grouped into domains such as users, departments, projects, complaints, forum, analytics, AI, GIS, notifications, audit and budget. Each API endpoint declares the permission it needs using a FastAPI dependency, so the same rule is applied consistently regardless of how the endpoint is called. On the frontend, Vue Router guards hide pages a role cannot access.</w:t>
      </w:r>
    </w:p>
    <w:p>
      <w:pPr>
        <w:keepNext/>
        <w:spacing w:after="100" w:before="160"/>
        <w:jc w:val="center"/>
      </w:pPr>
      <w:r>
        <w:rPr>
          <w:rFonts w:ascii="Times New Roman" w:cs="Times New Roman" w:eastAsia="Times New Roman" w:hAnsi="Times New Roman"/>
          <w:b/>
          <w:bCs/>
          <w:sz w:val="22"/>
          <w:szCs w:val="22"/>
        </w:rPr>
        <w:t xml:space="preserve">Table 2.4: Summary of the role-permission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Role</w:t>
            </w:r>
          </w:p>
        </w:tc>
        <w:tc>
          <w:tcPr>
            <w:tcW w:type="dxa" w:w="7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Scope of access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Commissioner</w:t>
            </w:r>
          </w:p>
        </w:tc>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Full visibility: all users, departments, projects and complaints; city-wide analytics and export; approve budgets and projects; AI insights, override and retraining; broadcast notifications; full audit log.</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Engineer</w:t>
            </w:r>
          </w:p>
        </w:tc>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All complaints and projects; create and update own projects; assign, close and escalate complaints; department analytics; AI predictions and override; department audit log; update own budget.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Coordinator</w:t>
            </w:r>
          </w:p>
        </w:tc>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View and triage all complaints; assign and close; update own projects; department analytics; view AI insights; all GIS layers.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Citizen</w:t>
            </w:r>
          </w:p>
        </w:tc>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Create, view and update only their own complaints; public projects and public GIS layer; forum participation; own notifications.</w:t>
            </w:r>
          </w:p>
        </w:tc>
      </w:tr>
    </w:tbl>
    <w:p>
      <w:pPr>
        <w:spacing w:after="240" w:before="100"/>
        <w:jc w:val="center"/>
      </w:pPr>
      <w:r>
        <w:rPr>
          <w:rFonts w:ascii="Times New Roman" w:cs="Times New Roman" w:eastAsia="Times New Roman" w:hAnsi="Times New Roman"/>
          <w:sz w:val="22"/>
          <w:szCs w:val="22"/>
        </w:rPr>
        <w:t xml:space="preserve"/>
      </w:r>
    </w:p>
    <w:p>
      <w:pPr>
        <w:spacing w:after="160" w:before="0" w:line="276"/>
        <w:jc w:val="both"/>
      </w:pPr>
      <w:r>
        <w:rPr>
          <w:rFonts w:ascii="Times New Roman" w:cs="Times New Roman" w:eastAsia="Times New Roman" w:hAnsi="Times New Roman"/>
          <w:sz w:val="24"/>
          <w:szCs w:val="24"/>
        </w:rPr>
        <w:t xml:space="preserve">Additional safeguards include an in-process </w:t>
      </w:r>
      <w:r>
        <w:rPr>
          <w:rFonts w:ascii="Times New Roman" w:cs="Times New Roman" w:eastAsia="Times New Roman" w:hAnsi="Times New Roman"/>
          <w:b/>
          <w:bCs/>
          <w:sz w:val="24"/>
          <w:szCs w:val="24"/>
        </w:rPr>
        <w:t xml:space="preserve">rate limiter</w:t>
      </w:r>
      <w:r>
        <w:rPr>
          <w:rFonts w:ascii="Times New Roman" w:cs="Times New Roman" w:eastAsia="Times New Roman" w:hAnsi="Times New Roman"/>
          <w:sz w:val="24"/>
          <w:szCs w:val="24"/>
        </w:rPr>
        <w:t xml:space="preserve"> (100 requests per minute per client, returning HTTP 429 when exceeded), </w:t>
      </w:r>
      <w:r>
        <w:rPr>
          <w:rFonts w:ascii="Times New Roman" w:cs="Times New Roman" w:eastAsia="Times New Roman" w:hAnsi="Times New Roman"/>
          <w:b/>
          <w:bCs/>
          <w:sz w:val="24"/>
          <w:szCs w:val="24"/>
        </w:rPr>
        <w:t xml:space="preserve">request logging middleware</w:t>
      </w:r>
      <w:r>
        <w:rPr>
          <w:rFonts w:ascii="Times New Roman" w:cs="Times New Roman" w:eastAsia="Times New Roman" w:hAnsi="Times New Roman"/>
          <w:sz w:val="24"/>
          <w:szCs w:val="24"/>
        </w:rPr>
        <w:t xml:space="preserve"> that tags every request with an ID and response time, account lock-out after repeated failed logins, strict </w:t>
      </w:r>
      <w:r>
        <w:rPr>
          <w:rFonts w:ascii="Times New Roman" w:cs="Times New Roman" w:eastAsia="Times New Roman" w:hAnsi="Times New Roman"/>
          <w:b/>
          <w:bCs/>
          <w:sz w:val="24"/>
          <w:szCs w:val="24"/>
        </w:rPr>
        <w:t xml:space="preserve">CORS</w:t>
      </w:r>
      <w:r>
        <w:rPr>
          <w:rFonts w:ascii="Times New Roman" w:cs="Times New Roman" w:eastAsia="Times New Roman" w:hAnsi="Times New Roman"/>
          <w:sz w:val="24"/>
          <w:szCs w:val="24"/>
        </w:rPr>
        <w:t xml:space="preserve"> configuration, and an </w:t>
      </w:r>
      <w:r>
        <w:rPr>
          <w:rFonts w:ascii="Times New Roman" w:cs="Times New Roman" w:eastAsia="Times New Roman" w:hAnsi="Times New Roman"/>
          <w:b/>
          <w:bCs/>
          <w:sz w:val="24"/>
          <w:szCs w:val="24"/>
        </w:rPr>
        <w:t xml:space="preserve">audit service</w:t>
      </w:r>
      <w:r>
        <w:rPr>
          <w:rFonts w:ascii="Times New Roman" w:cs="Times New Roman" w:eastAsia="Times New Roman" w:hAnsi="Times New Roman"/>
          <w:sz w:val="24"/>
          <w:szCs w:val="24"/>
        </w:rPr>
        <w:t xml:space="preserve"> that records sensitive operations.</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2.2: Secure Sign-in Screen with Role-based Demo Accounts.</w:t>
      </w:r>
    </w:p>
    <w:p>
      <w:pPr>
        <w:pStyle w:val="Heading2"/>
        <w:keepNext/>
        <w:spacing w:after="160" w:before="320"/>
      </w:pPr>
      <w:r>
        <w:rPr>
          <w:rFonts w:ascii="Times New Roman" w:cs="Times New Roman" w:eastAsia="Times New Roman" w:hAnsi="Times New Roman"/>
          <w:b/>
          <w:bCs/>
          <w:sz w:val="28"/>
          <w:szCs w:val="28"/>
        </w:rPr>
        <w:t xml:space="preserve">2.5 Complaint Management Workflow</w:t>
      </w:r>
    </w:p>
    <w:p>
      <w:pPr>
        <w:spacing w:after="160" w:before="0" w:line="276"/>
        <w:jc w:val="both"/>
      </w:pPr>
      <w:r>
        <w:rPr>
          <w:rFonts w:ascii="Times New Roman" w:cs="Times New Roman" w:eastAsia="Times New Roman" w:hAnsi="Times New Roman"/>
          <w:sz w:val="24"/>
          <w:szCs w:val="24"/>
        </w:rPr>
        <w:t xml:space="preserve">The heart of CivilInc is an end-to-end digital grievance redressal workflow. A complaint is modelled as a </w:t>
      </w:r>
      <w:r>
        <w:rPr>
          <w:rFonts w:ascii="Times New Roman" w:cs="Times New Roman" w:eastAsia="Times New Roman" w:hAnsi="Times New Roman"/>
          <w:b/>
          <w:bCs/>
          <w:sz w:val="24"/>
          <w:szCs w:val="24"/>
        </w:rPr>
        <w:t xml:space="preserve">state machine</w:t>
      </w:r>
      <w:r>
        <w:rPr>
          <w:rFonts w:ascii="Times New Roman" w:cs="Times New Roman" w:eastAsia="Times New Roman" w:hAnsi="Times New Roman"/>
          <w:sz w:val="24"/>
          <w:szCs w:val="24"/>
        </w:rPr>
        <w:t xml:space="preserve"> with the states Pending, Under Review, Assigned, In Progress, Resolved, Closed, Rejected and Escalated. Each transition is permitted only to roles that hold the corresponding permission, and every transition is written to the complaint history and audit log and pushed to the relevant users as a notification.</w:t>
      </w:r>
    </w:p>
    <w:p>
      <w:pPr>
        <w:keepNext/>
        <w:spacing w:after="80" w:before="120"/>
        <w:jc w:val="center"/>
      </w:pPr>
      <w:r>
        <w:drawing>
          <wp:inline distT="0" distB="0" distL="0" distR="0">
            <wp:extent cx="56673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400425"/>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2.3: Complaint Lifecycle and State Transitions in CivilInc.</w:t>
      </w:r>
    </w:p>
    <w:p>
      <w:pPr>
        <w:spacing w:after="160" w:before="0" w:line="276"/>
        <w:jc w:val="both"/>
      </w:pPr>
      <w:r>
        <w:rPr>
          <w:rFonts w:ascii="Times New Roman" w:cs="Times New Roman" w:eastAsia="Times New Roman" w:hAnsi="Times New Roman"/>
          <w:sz w:val="24"/>
          <w:szCs w:val="24"/>
        </w:rPr>
        <w:t xml:space="preserve">When a citizen submits a complaint, the backend validates the input, generates a unique complaint number, calculates the </w:t>
      </w:r>
      <w:r>
        <w:rPr>
          <w:rFonts w:ascii="Times New Roman" w:cs="Times New Roman" w:eastAsia="Times New Roman" w:hAnsi="Times New Roman"/>
          <w:b/>
          <w:bCs/>
          <w:sz w:val="24"/>
          <w:szCs w:val="24"/>
        </w:rPr>
        <w:t xml:space="preserve">SLA due time</w:t>
      </w:r>
      <w:r>
        <w:rPr>
          <w:rFonts w:ascii="Times New Roman" w:cs="Times New Roman" w:eastAsia="Times New Roman" w:hAnsi="Times New Roman"/>
          <w:sz w:val="24"/>
          <w:szCs w:val="24"/>
        </w:rPr>
        <w:t xml:space="preserve"> and stores the record. The AI triage service (Section 2.11) predicts the category, responsible department, priority, expected resolution time and cluster, and these predictions are stored alongside the complaint so that a coordinator can accept or override them. If the SLA due time passes before resolution, the complaint is flagged as breached and can be escalated through up to three levels. Once resolved, the citizen can rate the resolution from 1 to 5 and leave feedback, which feeds into department performance metrics.</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2.4: Citizen Complaint Registration Form with Location Details.</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2.5: Complaint Register with Search and Filters by Status, Priority and Category.</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2.6: Complaint Detail View with Status Update, Escalation and SLA Information.</w:t>
      </w:r>
    </w:p>
    <w:p>
      <w:pPr>
        <w:pStyle w:val="Heading2"/>
        <w:keepNext/>
        <w:spacing w:after="160" w:before="320"/>
      </w:pPr>
      <w:r>
        <w:rPr>
          <w:rFonts w:ascii="Times New Roman" w:cs="Times New Roman" w:eastAsia="Times New Roman" w:hAnsi="Times New Roman"/>
          <w:b/>
          <w:bCs/>
          <w:sz w:val="28"/>
          <w:szCs w:val="28"/>
        </w:rPr>
        <w:t xml:space="preserve">2.6 Role-Based Dashboards</w:t>
      </w:r>
    </w:p>
    <w:p>
      <w:pPr>
        <w:spacing w:after="160" w:before="0" w:line="276"/>
        <w:jc w:val="both"/>
      </w:pPr>
      <w:r>
        <w:rPr>
          <w:rFonts w:ascii="Times New Roman" w:cs="Times New Roman" w:eastAsia="Times New Roman" w:hAnsi="Times New Roman"/>
          <w:sz w:val="24"/>
          <w:szCs w:val="24"/>
        </w:rPr>
        <w:t xml:space="preserve">Each of the four roles receives a dashboard tailored to its responsibilities, which is selected automatically after login by a dashboard router component.</w:t>
      </w:r>
    </w:p>
    <w:p>
      <w:pPr>
        <w:spacing w:after="160" w:before="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Commissioner Dashboard</w:t>
      </w:r>
      <w:r>
        <w:rPr>
          <w:rFonts w:ascii="Times New Roman" w:cs="Times New Roman" w:eastAsia="Times New Roman" w:hAnsi="Times New Roman"/>
          <w:sz w:val="24"/>
          <w:szCs w:val="24"/>
        </w:rPr>
        <w:t xml:space="preserve"> provides an executive, city-wide view: total complaints and pending count, resolution rate, critical issues and SLA breaches, active and at-risk projects, complaints by category, and the highest-risk wards identified by the AI ward risk index. This directly addresses the need for real-time oversight expressed by the administration.</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2.7: Commissioner Dashboard showing City-wide KPIs and High-Risk Wards.</w:t>
      </w:r>
    </w:p>
    <w:p>
      <w:pPr>
        <w:spacing w:after="160" w:before="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Engineer Dashboard</w:t>
      </w:r>
      <w:r>
        <w:rPr>
          <w:rFonts w:ascii="Times New Roman" w:cs="Times New Roman" w:eastAsia="Times New Roman" w:hAnsi="Times New Roman"/>
          <w:sz w:val="24"/>
          <w:szCs w:val="24"/>
        </w:rPr>
        <w:t xml:space="preserve"> focuses on execution: complaints assigned to the engineer’s department, work in progress, resolved counts and a list of at-risk projects with their AI-predicted delay probability. The </w:t>
      </w:r>
      <w:r>
        <w:rPr>
          <w:rFonts w:ascii="Times New Roman" w:cs="Times New Roman" w:eastAsia="Times New Roman" w:hAnsi="Times New Roman"/>
          <w:b/>
          <w:bCs/>
          <w:sz w:val="24"/>
          <w:szCs w:val="24"/>
        </w:rPr>
        <w:t xml:space="preserve">Coordinator Dashboard</w:t>
      </w:r>
      <w:r>
        <w:rPr>
          <w:rFonts w:ascii="Times New Roman" w:cs="Times New Roman" w:eastAsia="Times New Roman" w:hAnsi="Times New Roman"/>
          <w:sz w:val="24"/>
          <w:szCs w:val="24"/>
        </w:rPr>
        <w:t xml:space="preserve"> presents the triage queue – complaints pending review – so that coordinators can validate and route them quickly. The </w:t>
      </w:r>
      <w:r>
        <w:rPr>
          <w:rFonts w:ascii="Times New Roman" w:cs="Times New Roman" w:eastAsia="Times New Roman" w:hAnsi="Times New Roman"/>
          <w:b/>
          <w:bCs/>
          <w:sz w:val="24"/>
          <w:szCs w:val="24"/>
        </w:rPr>
        <w:t xml:space="preserve">Citizen Dashboard</w:t>
      </w:r>
      <w:r>
        <w:rPr>
          <w:rFonts w:ascii="Times New Roman" w:cs="Times New Roman" w:eastAsia="Times New Roman" w:hAnsi="Times New Roman"/>
          <w:sz w:val="24"/>
          <w:szCs w:val="24"/>
        </w:rPr>
        <w:t xml:space="preserve"> offers quick actions to report an issue, track complaints, view the map and follow ward-level projects.</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2.8: Engineer Dashboard with Assigned Complaints and At-Risk Projects.</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2.9: Coordinator Dashboard showing the Pending Triage Queue.</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2.10: Citizen Dashboard with Quick Actions and Complaint Tracking.</w:t>
      </w:r>
    </w:p>
    <w:p>
      <w:pPr>
        <w:pStyle w:val="Heading2"/>
        <w:keepNext/>
        <w:spacing w:after="160" w:before="320"/>
      </w:pPr>
      <w:r>
        <w:rPr>
          <w:rFonts w:ascii="Times New Roman" w:cs="Times New Roman" w:eastAsia="Times New Roman" w:hAnsi="Times New Roman"/>
          <w:b/>
          <w:bCs/>
          <w:sz w:val="28"/>
          <w:szCs w:val="28"/>
        </w:rPr>
        <w:t xml:space="preserve">2.7 Infrastructure Project and Budget Monitoring</w:t>
      </w:r>
    </w:p>
    <w:p>
      <w:pPr>
        <w:spacing w:after="160" w:before="0" w:line="276"/>
        <w:jc w:val="both"/>
      </w:pPr>
      <w:r>
        <w:rPr>
          <w:rFonts w:ascii="Times New Roman" w:cs="Times New Roman" w:eastAsia="Times New Roman" w:hAnsi="Times New Roman"/>
          <w:sz w:val="24"/>
          <w:szCs w:val="24"/>
        </w:rPr>
        <w:t xml:space="preserve">Beyond grievances, CivilInc tracks infrastructure projects such as road widening, storm-water drain rehabilitation, water-pipeline replacement and LED streetlight installation. For each project the platform records the category, department, ward, schedule (planned and actual dates), estimated, approved and actual cost, completion percentage, contractor and source of funds (for example Smart City, AMRUT 2.0 or the corporation’s own funds).</w:t>
      </w:r>
    </w:p>
    <w:p>
      <w:pPr>
        <w:spacing w:after="160" w:before="0" w:line="276"/>
        <w:jc w:val="both"/>
      </w:pPr>
      <w:r>
        <w:rPr>
          <w:rFonts w:ascii="Times New Roman" w:cs="Times New Roman" w:eastAsia="Times New Roman" w:hAnsi="Times New Roman"/>
          <w:sz w:val="24"/>
          <w:szCs w:val="24"/>
        </w:rPr>
        <w:t xml:space="preserve">Engineers update progress and actual expenditure from the project detail page, and the system recalculates </w:t>
      </w:r>
      <w:r>
        <w:rPr>
          <w:rFonts w:ascii="Times New Roman" w:cs="Times New Roman" w:eastAsia="Times New Roman" w:hAnsi="Times New Roman"/>
          <w:b/>
          <w:bCs/>
          <w:sz w:val="24"/>
          <w:szCs w:val="24"/>
        </w:rPr>
        <w:t xml:space="preserve">budget utilisation</w:t>
      </w:r>
      <w:r>
        <w:rPr>
          <w:rFonts w:ascii="Times New Roman" w:cs="Times New Roman" w:eastAsia="Times New Roman" w:hAnsi="Times New Roman"/>
          <w:sz w:val="24"/>
          <w:szCs w:val="24"/>
        </w:rPr>
        <w:t xml:space="preserve">. Each project also displays an </w:t>
      </w:r>
      <w:r>
        <w:rPr>
          <w:rFonts w:ascii="Times New Roman" w:cs="Times New Roman" w:eastAsia="Times New Roman" w:hAnsi="Times New Roman"/>
          <w:b/>
          <w:bCs/>
          <w:sz w:val="24"/>
          <w:szCs w:val="24"/>
        </w:rPr>
        <w:t xml:space="preserve">AI Risk Assessment</w:t>
      </w:r>
      <w:r>
        <w:rPr>
          <w:rFonts w:ascii="Times New Roman" w:cs="Times New Roman" w:eastAsia="Times New Roman" w:hAnsi="Times New Roman"/>
          <w:sz w:val="24"/>
          <w:szCs w:val="24"/>
        </w:rPr>
        <w:t xml:space="preserve"> panel showing the predicted delay probability, expected budget overrun and an overall risk score and category, enabling officials to intervene before a project slips. The project register can be filtered to show only at-risk projects.</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2.11: Infrastructure Project Register with Progress, Delay Risk and Budget.</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2.12: Project Detail with Progress Update and AI Risk Assessment.</w:t>
      </w:r>
    </w:p>
    <w:p>
      <w:pPr>
        <w:pStyle w:val="Heading2"/>
        <w:keepNext/>
        <w:spacing w:after="160" w:before="320"/>
      </w:pPr>
      <w:r>
        <w:rPr>
          <w:rFonts w:ascii="Times New Roman" w:cs="Times New Roman" w:eastAsia="Times New Roman" w:hAnsi="Times New Roman"/>
          <w:b/>
          <w:bCs/>
          <w:sz w:val="28"/>
          <w:szCs w:val="28"/>
        </w:rPr>
        <w:t xml:space="preserve">2.8 GIS Mapping and Spatial Visualisation</w:t>
      </w:r>
    </w:p>
    <w:p>
      <w:pPr>
        <w:spacing w:after="160" w:before="0" w:line="276"/>
        <w:jc w:val="both"/>
      </w:pPr>
      <w:r>
        <w:rPr>
          <w:rFonts w:ascii="Times New Roman" w:cs="Times New Roman" w:eastAsia="Times New Roman" w:hAnsi="Times New Roman"/>
          <w:sz w:val="24"/>
          <w:szCs w:val="24"/>
        </w:rPr>
        <w:t xml:space="preserve">Civic problems are inherently spatial. CivilInc includes a </w:t>
      </w:r>
      <w:r>
        <w:rPr>
          <w:rFonts w:ascii="Times New Roman" w:cs="Times New Roman" w:eastAsia="Times New Roman" w:hAnsi="Times New Roman"/>
          <w:b/>
          <w:bCs/>
          <w:sz w:val="24"/>
          <w:szCs w:val="24"/>
        </w:rPr>
        <w:t xml:space="preserve">GIS Map</w:t>
      </w:r>
      <w:r>
        <w:rPr>
          <w:rFonts w:ascii="Times New Roman" w:cs="Times New Roman" w:eastAsia="Times New Roman" w:hAnsi="Times New Roman"/>
          <w:sz w:val="24"/>
          <w:szCs w:val="24"/>
        </w:rPr>
        <w:t xml:space="preserve"> module built with Leaflet and OpenStreetMap tiles. Dedicated GIS endpoints return complaint and project locations as point layers, and a heat-map endpoint aggregates complaint density. Markers are colour-coded by priority (critical, high, medium, low), and users can toggle between complaint and project layers. Commissioners, engineers and coordinators can view all layers, whereas citizens see only the public layer. The map makes clusters of problems – for example repeated drainage complaints along one road – immediately visible.</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2.13: GIS Map showing Geo-tagged Complaints colour-coded by Priority.</w:t>
      </w:r>
    </w:p>
    <w:p>
      <w:pPr>
        <w:pStyle w:val="Heading2"/>
        <w:keepNext/>
        <w:spacing w:after="160" w:before="320"/>
      </w:pPr>
      <w:r>
        <w:rPr>
          <w:rFonts w:ascii="Times New Roman" w:cs="Times New Roman" w:eastAsia="Times New Roman" w:hAnsi="Times New Roman"/>
          <w:b/>
          <w:bCs/>
          <w:sz w:val="28"/>
          <w:szCs w:val="28"/>
        </w:rPr>
        <w:t xml:space="preserve">2.9 Analytics and Cross-Departmental Coordination</w:t>
      </w:r>
    </w:p>
    <w:p>
      <w:pPr>
        <w:spacing w:after="160" w:before="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Analytics</w:t>
      </w:r>
      <w:r>
        <w:rPr>
          <w:rFonts w:ascii="Times New Roman" w:cs="Times New Roman" w:eastAsia="Times New Roman" w:hAnsi="Times New Roman"/>
          <w:sz w:val="24"/>
          <w:szCs w:val="24"/>
        </w:rPr>
        <w:t xml:space="preserve"> module exposes REST endpoints for a city-wide overview and for complaints by category, by status and by ward, projects by status and department performance. The analytics page brings these together with KPIs such as resolution rate, SLA breaches and budget utilisation, along with top complaint wards and AI-identified high-risk wards.</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2.14: Analytics Module with Category, Project Status and Budget Metrics.</w:t>
      </w:r>
    </w:p>
    <w:p>
      <w:pPr>
        <w:spacing w:after="160" w:before="0" w:line="276"/>
        <w:jc w:val="both"/>
      </w:pPr>
      <w:r>
        <w:rPr>
          <w:rFonts w:ascii="Times New Roman" w:cs="Times New Roman" w:eastAsia="Times New Roman" w:hAnsi="Times New Roman"/>
          <w:sz w:val="24"/>
          <w:szCs w:val="24"/>
        </w:rPr>
        <w:t xml:space="preserve">To support </w:t>
      </w:r>
      <w:r>
        <w:rPr>
          <w:rFonts w:ascii="Times New Roman" w:cs="Times New Roman" w:eastAsia="Times New Roman" w:hAnsi="Times New Roman"/>
          <w:b/>
          <w:bCs/>
          <w:sz w:val="24"/>
          <w:szCs w:val="24"/>
        </w:rPr>
        <w:t xml:space="preserve">cross-departmental coordination</w:t>
      </w:r>
      <w:r>
        <w:rPr>
          <w:rFonts w:ascii="Times New Roman" w:cs="Times New Roman" w:eastAsia="Times New Roman" w:hAnsi="Times New Roman"/>
          <w:sz w:val="24"/>
          <w:szCs w:val="24"/>
        </w:rPr>
        <w:t xml:space="preserve">, the platform provides a </w:t>
      </w:r>
      <w:r>
        <w:rPr>
          <w:rFonts w:ascii="Times New Roman" w:cs="Times New Roman" w:eastAsia="Times New Roman" w:hAnsi="Times New Roman"/>
          <w:b/>
          <w:bCs/>
          <w:sz w:val="24"/>
          <w:szCs w:val="24"/>
        </w:rPr>
        <w:t xml:space="preserve">Departments</w:t>
      </w:r>
      <w:r>
        <w:rPr>
          <w:rFonts w:ascii="Times New Roman" w:cs="Times New Roman" w:eastAsia="Times New Roman" w:hAnsi="Times New Roman"/>
          <w:sz w:val="24"/>
          <w:szCs w:val="24"/>
        </w:rPr>
        <w:t xml:space="preserve"> view summarising each department’s complaints, projects, SLA hours and budget, and a </w:t>
      </w:r>
      <w:r>
        <w:rPr>
          <w:rFonts w:ascii="Times New Roman" w:cs="Times New Roman" w:eastAsia="Times New Roman" w:hAnsi="Times New Roman"/>
          <w:b/>
          <w:bCs/>
          <w:sz w:val="24"/>
          <w:szCs w:val="24"/>
        </w:rPr>
        <w:t xml:space="preserve">Discussion Forum</w:t>
      </w:r>
      <w:r>
        <w:rPr>
          <w:rFonts w:ascii="Times New Roman" w:cs="Times New Roman" w:eastAsia="Times New Roman" w:hAnsi="Times New Roman"/>
          <w:sz w:val="24"/>
          <w:szCs w:val="24"/>
        </w:rPr>
        <w:t xml:space="preserve"> where officials can create threads – for example, a monsoon preparedness thread that coordinates drain clearing and road patching across departments. Commissioners can pin important threads and moderate discussions. A </w:t>
      </w:r>
      <w:r>
        <w:rPr>
          <w:rFonts w:ascii="Times New Roman" w:cs="Times New Roman" w:eastAsia="Times New Roman" w:hAnsi="Times New Roman"/>
          <w:b/>
          <w:bCs/>
          <w:sz w:val="24"/>
          <w:szCs w:val="24"/>
        </w:rPr>
        <w:t xml:space="preserve">notification centre</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WebSocket hub</w:t>
      </w:r>
      <w:r>
        <w:rPr>
          <w:rFonts w:ascii="Times New Roman" w:cs="Times New Roman" w:eastAsia="Times New Roman" w:hAnsi="Times New Roman"/>
          <w:sz w:val="24"/>
          <w:szCs w:val="24"/>
        </w:rPr>
        <w:t xml:space="preserve"> deliver real-time updates when complaints are created, assigned or escalated; connections can join “rooms” per department or ward so that only relevant users receive each event.</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2.15: Department Overview with Complaints, Projects, SLA and Budget.</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2.16: Inter-departmental Discussion Forum.</w:t>
      </w:r>
    </w:p>
    <w:p>
      <w:pPr>
        <w:pStyle w:val="Heading2"/>
        <w:keepNext/>
        <w:spacing w:after="160" w:before="320"/>
      </w:pPr>
      <w:r>
        <w:rPr>
          <w:rFonts w:ascii="Times New Roman" w:cs="Times New Roman" w:eastAsia="Times New Roman" w:hAnsi="Times New Roman"/>
          <w:b/>
          <w:bCs/>
          <w:sz w:val="28"/>
          <w:szCs w:val="28"/>
        </w:rPr>
        <w:t xml:space="preserve">2.10 Data Engineering and Data Quality</w:t>
      </w:r>
    </w:p>
    <w:p>
      <w:pPr>
        <w:spacing w:after="160" w:before="0" w:line="276"/>
        <w:jc w:val="both"/>
      </w:pPr>
      <w:r>
        <w:rPr>
          <w:rFonts w:ascii="Times New Roman" w:cs="Times New Roman" w:eastAsia="Times New Roman" w:hAnsi="Times New Roman"/>
          <w:sz w:val="24"/>
          <w:szCs w:val="24"/>
        </w:rPr>
        <w:t xml:space="preserve">Machine-learning models require substantial historical data. Because live municipal records could not be released for a student prototype, a reproducible </w:t>
      </w:r>
      <w:r>
        <w:rPr>
          <w:rFonts w:ascii="Times New Roman" w:cs="Times New Roman" w:eastAsia="Times New Roman" w:hAnsi="Times New Roman"/>
          <w:b/>
          <w:bCs/>
          <w:sz w:val="24"/>
          <w:szCs w:val="24"/>
        </w:rPr>
        <w:t xml:space="preserve">data engineering pipeline</w:t>
      </w:r>
      <w:r>
        <w:rPr>
          <w:rFonts w:ascii="Times New Roman" w:cs="Times New Roman" w:eastAsia="Times New Roman" w:hAnsi="Times New Roman"/>
          <w:sz w:val="24"/>
          <w:szCs w:val="24"/>
        </w:rPr>
        <w:t xml:space="preserve"> was built to create a realistic dataset. Real geographic reference data – a 198-ward urban boundary dataset with OpenStreetMap-verified ward centroids, Indian city and state datasets – was combined with </w:t>
      </w:r>
      <w:r>
        <w:rPr>
          <w:rFonts w:ascii="Times New Roman" w:cs="Times New Roman" w:eastAsia="Times New Roman" w:hAnsi="Times New Roman"/>
          <w:b/>
          <w:bCs/>
          <w:sz w:val="24"/>
          <w:szCs w:val="24"/>
        </w:rPr>
        <w:t xml:space="preserve">statistical distributions published in public reports</w:t>
      </w:r>
      <w:r>
        <w:rPr>
          <w:rFonts w:ascii="Times New Roman" w:cs="Times New Roman" w:eastAsia="Times New Roman" w:hAnsi="Times New Roman"/>
          <w:sz w:val="24"/>
          <w:szCs w:val="24"/>
        </w:rPr>
        <w:t xml:space="preserve"> (municipal annual and budget reports, Smart Cities Mission and NITI Aayog urban infrastructure reports, and open 311 service-request summaries) for complaint categories, channel mix, SLA targets, resolution times, project delay rates and budget utilisation. The 198-ward reference geography was used because ward-level open data is publicly available for it; the pipeline is parameterised so that Shivamogga’s own ward boundaries and records can be substituted directly.</w:t>
      </w:r>
    </w:p>
    <w:p>
      <w:pPr>
        <w:spacing w:after="160" w:before="0" w:line="276"/>
        <w:jc w:val="both"/>
      </w:pPr>
      <w:r>
        <w:rPr>
          <w:rFonts w:ascii="Times New Roman" w:cs="Times New Roman" w:eastAsia="Times New Roman" w:hAnsi="Times New Roman"/>
          <w:sz w:val="24"/>
          <w:szCs w:val="24"/>
        </w:rPr>
        <w:t xml:space="preserve">Four Python ETL scripts orchestrated by a master pipeline generate five processed datasets. Every record carries </w:t>
      </w:r>
      <w:r>
        <w:rPr>
          <w:rFonts w:ascii="Times New Roman" w:cs="Times New Roman" w:eastAsia="Times New Roman" w:hAnsi="Times New Roman"/>
          <w:b/>
          <w:bCs/>
          <w:sz w:val="24"/>
          <w:szCs w:val="24"/>
        </w:rPr>
        <w:t xml:space="preserve">lineage columns</w:t>
      </w:r>
      <w:r>
        <w:rPr>
          <w:rFonts w:ascii="Times New Roman" w:cs="Times New Roman" w:eastAsia="Times New Roman" w:hAnsi="Times New Roman"/>
          <w:sz w:val="24"/>
          <w:szCs w:val="24"/>
        </w:rPr>
        <w:t xml:space="preserve"> recording its geographic and statistical source, and the pipeline writes a </w:t>
      </w:r>
      <w:r>
        <w:rPr>
          <w:rFonts w:ascii="Times New Roman" w:cs="Times New Roman" w:eastAsia="Times New Roman" w:hAnsi="Times New Roman"/>
          <w:b/>
          <w:bCs/>
          <w:sz w:val="24"/>
          <w:szCs w:val="24"/>
        </w:rPr>
        <w:t xml:space="preserve">data provenance report</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data quality report</w:t>
      </w:r>
      <w:r>
        <w:rPr>
          <w:rFonts w:ascii="Times New Roman" w:cs="Times New Roman" w:eastAsia="Times New Roman" w:hAnsi="Times New Roman"/>
          <w:sz w:val="24"/>
          <w:szCs w:val="24"/>
        </w:rPr>
        <w:t xml:space="preserve"> (row and column counts, missing values, distributions and date ranges). A data dictionary documents every field.</w:t>
      </w:r>
    </w:p>
    <w:p>
      <w:pPr>
        <w:keepNext/>
        <w:spacing w:after="100" w:before="160"/>
        <w:jc w:val="center"/>
      </w:pPr>
      <w:r>
        <w:rPr>
          <w:rFonts w:ascii="Times New Roman" w:cs="Times New Roman" w:eastAsia="Times New Roman" w:hAnsi="Times New Roman"/>
          <w:b/>
          <w:bCs/>
          <w:sz w:val="22"/>
          <w:szCs w:val="22"/>
        </w:rPr>
        <w:t xml:space="preserve">Table 2.5: Datasets produced by the ETL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Dataset</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Records</w:t>
            </w:r>
          </w:p>
        </w:tc>
        <w:tc>
          <w:tcPr>
            <w:tcW w:type="dxa" w:w="4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Contents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complaints.csv</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55,000</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23 fields: text, category, sub-category, status, priority, ward, zone, coordinates, department, SLA, dates, resolution days, escalation, rating, source channel (2022–2024)</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projects.csv</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12,000</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31 fields: costs, schedule, completion, delay days, contractor, fund source, monsoon-start flag, pace indicator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citizen_feedback.csv</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30,000</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Ratings, sentiment, feedback text, response and resolution times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officer_workload.csv</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8,964</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Monthly officer workload, resolution rate, SLA breaches, workload score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budgets.csv</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36</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Year-wise departmental allocation, utilisation and carry-forward (2019–2024)</w:t>
            </w:r>
          </w:p>
        </w:tc>
      </w:tr>
    </w:tbl>
    <w:p>
      <w:pPr>
        <w:spacing w:after="240" w:before="100"/>
        <w:jc w:val="center"/>
      </w:pPr>
      <w:r>
        <w:rPr>
          <w:rFonts w:ascii="Times New Roman" w:cs="Times New Roman" w:eastAsia="Times New Roman" w:hAnsi="Times New Roman"/>
          <w:sz w:val="22"/>
          <w:szCs w:val="22"/>
        </w:rPr>
        <w:t xml:space="preserve"/>
      </w:r>
    </w:p>
    <w:p>
      <w:pPr>
        <w:spacing w:after="160" w:before="0" w:line="276"/>
        <w:jc w:val="both"/>
      </w:pPr>
      <w:r>
        <w:rPr>
          <w:rFonts w:ascii="Times New Roman" w:cs="Times New Roman" w:eastAsia="Times New Roman" w:hAnsi="Times New Roman"/>
          <w:sz w:val="24"/>
          <w:szCs w:val="24"/>
        </w:rPr>
        <w:t xml:space="preserve">The quality report on the complaints dataset confirmed no missing values in mandatory fields; resolution dates were missing only for open complaints (12,996 records) and ratings only where citizens did not give feedback (a feedback rate of 49.7%). The mean resolution time was 7.2 days (median 5.7 days), and the overall SLA breach rate was 85.1%, reflecting the strain on municipal services described in the source reports.</w:t>
      </w:r>
    </w:p>
    <w:p>
      <w:pPr>
        <w:keepNext/>
        <w:spacing w:after="80" w:before="120"/>
        <w:jc w:val="center"/>
      </w:pPr>
      <w:r>
        <w:drawing>
          <wp:inline distT="0" distB="0" distL="0" distR="0">
            <wp:extent cx="56673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3400425"/>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2.17: Data Engineering and Machine-Learning Pipeline of CivilInc.</w:t>
      </w:r>
    </w:p>
    <w:p>
      <w:pPr>
        <w:pStyle w:val="Heading2"/>
        <w:keepNext/>
        <w:spacing w:after="160" w:before="320"/>
      </w:pPr>
      <w:r>
        <w:rPr>
          <w:rFonts w:ascii="Times New Roman" w:cs="Times New Roman" w:eastAsia="Times New Roman" w:hAnsi="Times New Roman"/>
          <w:b/>
          <w:bCs/>
          <w:sz w:val="28"/>
          <w:szCs w:val="28"/>
        </w:rPr>
        <w:t xml:space="preserve">2.11 AI and Machine-Learning Systems</w:t>
      </w:r>
    </w:p>
    <w:p>
      <w:pPr>
        <w:spacing w:after="160" w:before="0" w:line="276"/>
        <w:jc w:val="both"/>
      </w:pPr>
      <w:r>
        <w:rPr>
          <w:rFonts w:ascii="Times New Roman" w:cs="Times New Roman" w:eastAsia="Times New Roman" w:hAnsi="Times New Roman"/>
          <w:sz w:val="24"/>
          <w:szCs w:val="24"/>
        </w:rPr>
        <w:t xml:space="preserve">Seven machine-learning systems were developed in a single training pipeline (train_all.py) and serialised with joblib for use by the backend inference service. Data was split 80:20 with stratification and fixed random seeds for reproducibility, and evaluation metrics are written to an evaluation report.</w:t>
      </w:r>
    </w:p>
    <w:p>
      <w:pPr>
        <w:keepNext/>
        <w:spacing w:after="100" w:before="160"/>
        <w:jc w:val="center"/>
      </w:pPr>
      <w:r>
        <w:rPr>
          <w:rFonts w:ascii="Times New Roman" w:cs="Times New Roman" w:eastAsia="Times New Roman" w:hAnsi="Times New Roman"/>
          <w:b/>
          <w:bCs/>
          <w:sz w:val="22"/>
          <w:szCs w:val="22"/>
        </w:rPr>
        <w:t xml:space="preserve">Table 2.6: AI systems implemented in CivilInc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126"/>
        <w:gridCol w:w="3200"/>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System</w:t>
            </w:r>
          </w:p>
        </w:tc>
        <w:tc>
          <w:tcPr>
            <w:tcW w:type="dxa" w:w="3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Technique</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Result on held-out data</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 category classification</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TF-IDF text features + LightGBM and Random Forest ensemble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Weighted F1 = 1.00 (target 0.85)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Priority prediction</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LightGBM on category, zone, channel, department, SLA and critical-keyword flags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Weighted F1 = 0.32 (target 0.80 – not met)</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Resolution time prediction</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XGBoost regressor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MAE = 2.32 days, R² = 0.66 (target MAE &lt; 3 days)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 clustering</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TF-IDF → Truncated SVD → K-Means, k chosen by silhouette score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18 clusters, silhouette = 0.60, severity score per cluster</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Project delay prediction</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LightGBM classifier on progress, pace, budget use, monsoon start, start delay</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F1 = 0.75, ROC-AUC = 0.82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Budget overrun prediction</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XGBoost regressor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MAE = ₹7.11 lakh, R² = 0.98</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Ward risk scoring</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Weighted composite index of normalised ward indicators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197 wards scored; 79 classified as high risk</w:t>
            </w:r>
          </w:p>
        </w:tc>
      </w:tr>
    </w:tbl>
    <w:p>
      <w:pPr>
        <w:spacing w:after="240" w:before="100"/>
        <w:jc w:val="center"/>
      </w:pPr>
      <w:r>
        <w:rPr>
          <w:rFonts w:ascii="Times New Roman" w:cs="Times New Roman" w:eastAsia="Times New Roman" w:hAnsi="Times New Roman"/>
          <w:sz w:val="22"/>
          <w:szCs w:val="22"/>
        </w:rPr>
        <w:t xml:space="preserve"/>
      </w:r>
    </w:p>
    <w:p>
      <w:pPr>
        <w:spacing w:after="160" w:before="0" w:line="276"/>
        <w:jc w:val="both"/>
      </w:pPr>
      <w:r>
        <w:rPr>
          <w:rFonts w:ascii="Times New Roman" w:cs="Times New Roman" w:eastAsia="Times New Roman" w:hAnsi="Times New Roman"/>
          <w:b/>
          <w:bCs/>
          <w:sz w:val="24"/>
          <w:szCs w:val="24"/>
        </w:rPr>
        <w:t xml:space="preserve">Complaint triage (S1–S4).</w:t>
      </w:r>
      <w:r>
        <w:rPr>
          <w:rFonts w:ascii="Times New Roman" w:cs="Times New Roman" w:eastAsia="Times New Roman" w:hAnsi="Times New Roman"/>
          <w:sz w:val="24"/>
          <w:szCs w:val="24"/>
        </w:rPr>
        <w:t xml:space="preserve"> When a complaint is filed, the title is vectorised with TF-IDF and combined with encoded zone and channel features to predict the category; the category is then mapped to the responsible department and its SLA (for example 12 hours for electricity, 24 hours for water supply and solid waste, 48 hours for roads). The priority model adds a keyword feature that flags words such as “burst”, “collapse”, “exposed” and “accident”. The resolution-time regressor estimates the expected number of days, and the clustering model assigns the complaint to a thematic cluster. Each cluster profile stores its size, dominant categories and wards, SLA breach rate and a severity score, which helps identify systemic problems rather than isolated complaints.</w:t>
      </w:r>
    </w:p>
    <w:p>
      <w:pPr>
        <w:spacing w:after="160" w:before="0" w:line="276"/>
        <w:jc w:val="both"/>
      </w:pPr>
      <w:r>
        <w:rPr>
          <w:rFonts w:ascii="Times New Roman" w:cs="Times New Roman" w:eastAsia="Times New Roman" w:hAnsi="Times New Roman"/>
          <w:b/>
          <w:bCs/>
          <w:sz w:val="24"/>
          <w:szCs w:val="24"/>
        </w:rPr>
        <w:t xml:space="preserve">Project risk (S5–S6).</w:t>
      </w:r>
      <w:r>
        <w:rPr>
          <w:rFonts w:ascii="Times New Roman" w:cs="Times New Roman" w:eastAsia="Times New Roman" w:hAnsi="Times New Roman"/>
          <w:sz w:val="24"/>
          <w:szCs w:val="24"/>
        </w:rPr>
        <w:t xml:space="preserve"> For each project the delay classifier outputs a probability of delay and the overrun regressor estimates the expected cost overrun. These are combined into a risk score (60% delay probability, 40% budget utilisation) and mapped to the categories low, medium, high and critical, which are shown on project pages and dashboards.</w:t>
      </w:r>
    </w:p>
    <w:p>
      <w:pPr>
        <w:spacing w:after="160" w:before="0" w:line="276"/>
        <w:jc w:val="both"/>
      </w:pPr>
      <w:r>
        <w:rPr>
          <w:rFonts w:ascii="Times New Roman" w:cs="Times New Roman" w:eastAsia="Times New Roman" w:hAnsi="Times New Roman"/>
          <w:b/>
          <w:bCs/>
          <w:sz w:val="24"/>
          <w:szCs w:val="24"/>
        </w:rPr>
        <w:t xml:space="preserve">Ward risk index (S7).</w:t>
      </w:r>
      <w:r>
        <w:rPr>
          <w:rFonts w:ascii="Times New Roman" w:cs="Times New Roman" w:eastAsia="Times New Roman" w:hAnsi="Times New Roman"/>
          <w:sz w:val="24"/>
          <w:szCs w:val="24"/>
        </w:rPr>
        <w:t xml:space="preserve"> For every ward, seven indicators are min-max normalised and combined: complaint volume (25%), SLA breach rate (20%), average resolution time (15%), critical complaints (15%), escalations (10%), average project delay probability (10%) and budget utilisation (5%). Scores of 0.75 and above are classified as critical, 0.50 and above as high and 0.25 and above as medium. This index drives the “High Risk Wards” panel on the Commissioner dashboard.</w:t>
      </w:r>
    </w:p>
    <w:p>
      <w:pPr>
        <w:keepNext/>
        <w:spacing w:after="80" w:before="120"/>
        <w:jc w:val="center"/>
      </w:pPr>
      <w:r>
        <w:drawing>
          <wp:inline distT="0" distB="0" distL="0" distR="0">
            <wp:extent cx="54864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1495425"/>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2.18: Summary of the Model Evaluation Report produced by the Training Pipeline.</w:t>
      </w:r>
    </w:p>
    <w:p>
      <w:pPr>
        <w:spacing w:after="160" w:before="0" w:line="276"/>
        <w:jc w:val="both"/>
      </w:pPr>
      <w:r>
        <w:rPr>
          <w:rFonts w:ascii="Times New Roman" w:cs="Times New Roman" w:eastAsia="Times New Roman" w:hAnsi="Times New Roman"/>
          <w:sz w:val="24"/>
          <w:szCs w:val="24"/>
        </w:rPr>
        <w:t xml:space="preserve">The models are exposed through three endpoints: POST /ai/complaint/triage, POST /ai/project/risk and GET /ai/ward-risk. The inference service loads all models lazily on first use and handles unseen categorical values gracefully. Figure 2.19 shows a live call to the triage endpoint for a new complaint about a burst water pipe; the system correctly identifies the category as water supply, routes it to the Water department with a 24-hour SLA and assigns high priority.</w:t>
      </w:r>
    </w:p>
    <w:p>
      <w:pPr>
        <w:keepNext/>
        <w:spacing w:after="80" w:before="120"/>
        <w:jc w:val="center"/>
      </w:pPr>
      <w:r>
        <w:drawing>
          <wp:inline distT="0" distB="0" distL="0" distR="0">
            <wp:extent cx="51244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1647825"/>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2.19: Live AI Triage of a New Complaint through the REST API.</w:t>
      </w:r>
    </w:p>
    <w:p>
      <w:pPr>
        <w:spacing w:after="160" w:before="0" w:line="276"/>
        <w:jc w:val="both"/>
      </w:pPr>
      <w:r>
        <w:rPr>
          <w:rFonts w:ascii="Times New Roman" w:cs="Times New Roman" w:eastAsia="Times New Roman" w:hAnsi="Times New Roman"/>
          <w:sz w:val="24"/>
          <w:szCs w:val="24"/>
        </w:rPr>
        <w:t xml:space="preserve">An important observation from the evaluation was that the perfect score of the category classifier reflects the relatively templated complaint text in the engineered dataset, and the priority model did not reach its target because priority in the source distributions depends on factors not present at the time of filing. These findings are discussed in Chapter 3 and are the main reasons why retraining on real municipal records is recommended before production use. The design therefore stores AI predictions separately and allows coordinators and engineers to </w:t>
      </w:r>
      <w:r>
        <w:rPr>
          <w:rFonts w:ascii="Times New Roman" w:cs="Times New Roman" w:eastAsia="Times New Roman" w:hAnsi="Times New Roman"/>
          <w:b/>
          <w:bCs/>
          <w:sz w:val="24"/>
          <w:szCs w:val="24"/>
        </w:rPr>
        <w:t xml:space="preserve">override</w:t>
      </w:r>
      <w:r>
        <w:rPr>
          <w:rFonts w:ascii="Times New Roman" w:cs="Times New Roman" w:eastAsia="Times New Roman" w:hAnsi="Times New Roman"/>
          <w:sz w:val="24"/>
          <w:szCs w:val="24"/>
        </w:rPr>
        <w:t xml:space="preserve"> them.</w:t>
      </w:r>
    </w:p>
    <w:p>
      <w:pPr>
        <w:pStyle w:val="Heading2"/>
        <w:keepNext/>
        <w:spacing w:after="160" w:before="320"/>
      </w:pPr>
      <w:r>
        <w:rPr>
          <w:rFonts w:ascii="Times New Roman" w:cs="Times New Roman" w:eastAsia="Times New Roman" w:hAnsi="Times New Roman"/>
          <w:b/>
          <w:bCs/>
          <w:sz w:val="28"/>
          <w:szCs w:val="28"/>
        </w:rPr>
        <w:t xml:space="preserve">2.12 Commissioner AI Assistant</w:t>
      </w:r>
    </w:p>
    <w:p>
      <w:pPr>
        <w:spacing w:after="160" w:before="0" w:line="276"/>
        <w:jc w:val="both"/>
      </w:pPr>
      <w:r>
        <w:rPr>
          <w:rFonts w:ascii="Times New Roman" w:cs="Times New Roman" w:eastAsia="Times New Roman" w:hAnsi="Times New Roman"/>
          <w:sz w:val="24"/>
          <w:szCs w:val="24"/>
        </w:rPr>
        <w:t xml:space="preserve">To give senior officials quick answers without navigating multiple screens, a </w:t>
      </w:r>
      <w:r>
        <w:rPr>
          <w:rFonts w:ascii="Times New Roman" w:cs="Times New Roman" w:eastAsia="Times New Roman" w:hAnsi="Times New Roman"/>
          <w:b/>
          <w:bCs/>
          <w:sz w:val="24"/>
          <w:szCs w:val="24"/>
        </w:rPr>
        <w:t xml:space="preserve">Commissioner AI Assistant</w:t>
      </w:r>
      <w:r>
        <w:rPr>
          <w:rFonts w:ascii="Times New Roman" w:cs="Times New Roman" w:eastAsia="Times New Roman" w:hAnsi="Times New Roman"/>
          <w:sz w:val="24"/>
          <w:szCs w:val="24"/>
        </w:rPr>
        <w:t xml:space="preserve"> was built into the interface. When a question is asked – for example “Which department has the highest backlog?” – the backend first builds a live snapshot of operational metrics from the database (complaint totals, pending and critical counts, SLA breaches, projects at risk and department-wise resolution rates). This snapshot is passed as context to a large language model (Anthropic Claude) with instructions to answer concisely using the actual figures. If the external model is unavailable, a </w:t>
      </w:r>
      <w:r>
        <w:rPr>
          <w:rFonts w:ascii="Times New Roman" w:cs="Times New Roman" w:eastAsia="Times New Roman" w:hAnsi="Times New Roman"/>
          <w:b/>
          <w:bCs/>
          <w:sz w:val="24"/>
          <w:szCs w:val="24"/>
        </w:rPr>
        <w:t xml:space="preserve">rule-based fallback</w:t>
      </w:r>
      <w:r>
        <w:rPr>
          <w:rFonts w:ascii="Times New Roman" w:cs="Times New Roman" w:eastAsia="Times New Roman" w:hAnsi="Times New Roman"/>
          <w:sz w:val="24"/>
          <w:szCs w:val="24"/>
        </w:rPr>
        <w:t xml:space="preserve"> answers common questions about backlogs, project risk and department performance directly from the snapshot, ensuring the feature always works. The assistant is restricted to roles holding the AI insights permission.</w:t>
      </w:r>
    </w:p>
    <w:p>
      <w:pPr>
        <w:keepNext/>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2.20: Commissioner AI Assistant answering a Backlog Query from Live Data.</w:t>
      </w:r>
    </w:p>
    <w:p>
      <w:pPr>
        <w:pStyle w:val="Heading2"/>
        <w:keepNext/>
        <w:spacing w:after="160" w:before="320"/>
      </w:pPr>
      <w:r>
        <w:rPr>
          <w:rFonts w:ascii="Times New Roman" w:cs="Times New Roman" w:eastAsia="Times New Roman" w:hAnsi="Times New Roman"/>
          <w:b/>
          <w:bCs/>
          <w:sz w:val="28"/>
          <w:szCs w:val="28"/>
        </w:rPr>
        <w:t xml:space="preserve">2.13 Monitoring, DevOps and Deployment</w:t>
      </w:r>
    </w:p>
    <w:p>
      <w:pPr>
        <w:spacing w:after="160" w:before="0" w:line="276"/>
        <w:jc w:val="both"/>
      </w:pPr>
      <w:r>
        <w:rPr>
          <w:rFonts w:ascii="Times New Roman" w:cs="Times New Roman" w:eastAsia="Times New Roman" w:hAnsi="Times New Roman"/>
          <w:sz w:val="24"/>
          <w:szCs w:val="24"/>
        </w:rPr>
        <w:t xml:space="preserve">The application exposes /health endpoints and a monitoring router with Prometheus-compatible metrics, and all requests are logged in structured form with a request ID and response time. Interactive API documentation is generated automatically by FastAPI (OpenAPI/Swagger) at /api/docs, covering 55 REST endpoints and the WebSocket endpoint.</w:t>
      </w:r>
    </w:p>
    <w:p>
      <w:pPr>
        <w:spacing w:after="160" w:before="0" w:line="276"/>
        <w:jc w:val="both"/>
      </w:pPr>
      <w:r>
        <w:rPr>
          <w:rFonts w:ascii="Times New Roman" w:cs="Times New Roman" w:eastAsia="Times New Roman" w:hAnsi="Times New Roman"/>
          <w:sz w:val="24"/>
          <w:szCs w:val="24"/>
        </w:rPr>
        <w:t xml:space="preserve">For deployment, a </w:t>
      </w:r>
      <w:r>
        <w:rPr>
          <w:rFonts w:ascii="Times New Roman" w:cs="Times New Roman" w:eastAsia="Times New Roman" w:hAnsi="Times New Roman"/>
          <w:b/>
          <w:bCs/>
          <w:sz w:val="24"/>
          <w:szCs w:val="24"/>
        </w:rPr>
        <w:t xml:space="preserve">Docker Compose</w:t>
      </w:r>
      <w:r>
        <w:rPr>
          <w:rFonts w:ascii="Times New Roman" w:cs="Times New Roman" w:eastAsia="Times New Roman" w:hAnsi="Times New Roman"/>
          <w:sz w:val="24"/>
          <w:szCs w:val="24"/>
        </w:rPr>
        <w:t xml:space="preserve"> file defines four services – PostgreSQL, Redis, backend and frontend – with health checks and persistent volumes, so that the complete platform can be started with a single command. A </w:t>
      </w:r>
      <w:r>
        <w:rPr>
          <w:rFonts w:ascii="Times New Roman" w:cs="Times New Roman" w:eastAsia="Times New Roman" w:hAnsi="Times New Roman"/>
          <w:b/>
          <w:bCs/>
          <w:sz w:val="24"/>
          <w:szCs w:val="24"/>
        </w:rPr>
        <w:t xml:space="preserve">GitHub Actions</w:t>
      </w:r>
      <w:r>
        <w:rPr>
          <w:rFonts w:ascii="Times New Roman" w:cs="Times New Roman" w:eastAsia="Times New Roman" w:hAnsi="Times New Roman"/>
          <w:sz w:val="24"/>
          <w:szCs w:val="24"/>
        </w:rPr>
        <w:t xml:space="preserve"> pipeline runs backend unit and integration tests against a PostgreSQL service container with coverage reporting, builds the frontend, builds and pushes the backend Docker image, and deploys the API to Railway and the frontend to Vercel from the main branch. An Nginx production configuration is provided for on-premise hosting, which is often preferred by government organisations.</w:t>
      </w:r>
    </w:p>
    <w:p>
      <w:pPr>
        <w:spacing w:after="160" w:before="0" w:line="276"/>
        <w:jc w:val="both"/>
      </w:pPr>
      <w:r>
        <w:rPr>
          <w:rFonts w:ascii="Times New Roman" w:cs="Times New Roman" w:eastAsia="Times New Roman" w:hAnsi="Times New Roman"/>
          <w:sz w:val="24"/>
          <w:szCs w:val="24"/>
        </w:rPr>
        <w:t xml:space="preserve">Automated tests were written with pytest and httpx for password hashing and token handling, the permission matrix for all four roles, authentication flows, and complaint rules such as “citizens can only see their own complaints” and “feedback is allowed only on resolved complaints”. The test configuration uses an isolated in-memory database with per-test transactions.</w:t>
      </w:r>
    </w:p>
    <w:p>
      <w:r>
        <w:br w:type="page"/>
      </w:r>
    </w:p>
    <w:p>
      <w:pPr>
        <w:pStyle w:val="Heading1"/>
        <w:spacing w:after="120"/>
        <w:jc w:val="center"/>
      </w:pPr>
      <w:r>
        <w:rPr>
          <w:rFonts w:ascii="Times New Roman" w:cs="Times New Roman" w:eastAsia="Times New Roman" w:hAnsi="Times New Roman"/>
          <w:b/>
          <w:bCs/>
          <w:sz w:val="32"/>
          <w:szCs w:val="32"/>
        </w:rPr>
        <w:t xml:space="preserve">CHAPTER 3</w:t>
      </w:r>
    </w:p>
    <w:p>
      <w:pPr>
        <w:spacing w:after="360"/>
        <w:jc w:val="center"/>
      </w:pPr>
      <w:r>
        <w:rPr>
          <w:rFonts w:ascii="Times New Roman" w:cs="Times New Roman" w:eastAsia="Times New Roman" w:hAnsi="Times New Roman"/>
          <w:b/>
          <w:bCs/>
          <w:sz w:val="32"/>
          <w:szCs w:val="32"/>
        </w:rPr>
        <w:t xml:space="preserve">LEARNINGS &amp; IMPACT OF THE INDUSTRIAL TRAINING</w:t>
      </w:r>
    </w:p>
    <w:p>
      <w:pPr>
        <w:spacing w:after="160" w:before="0" w:line="276"/>
        <w:jc w:val="both"/>
      </w:pPr>
      <w:r>
        <w:rPr>
          <w:rFonts w:ascii="Times New Roman" w:cs="Times New Roman" w:eastAsia="Times New Roman" w:hAnsi="Times New Roman"/>
          <w:sz w:val="24"/>
          <w:szCs w:val="24"/>
        </w:rPr>
        <w:t xml:space="preserve">The industrial training gave me a rare opportunity to see how a city government actually works and to build software for it. Understanding the roles of the Commissioner, departmental engineers and coordinators, and the expectations of citizens, taught me that the hardest part of a civic-tech system is not the code but modelling the real workflow correctly: who may do what, when a complaint should be escalated, and what information a decision-maker needs at a glance.</w:t>
      </w:r>
    </w:p>
    <w:p>
      <w:pPr>
        <w:spacing w:after="160" w:before="0" w:line="276"/>
        <w:jc w:val="both"/>
      </w:pPr>
      <w:r>
        <w:rPr>
          <w:rFonts w:ascii="Times New Roman" w:cs="Times New Roman" w:eastAsia="Times New Roman" w:hAnsi="Times New Roman"/>
          <w:sz w:val="24"/>
          <w:szCs w:val="24"/>
        </w:rPr>
        <w:t xml:space="preserve">On the technical side, building CivilInc end-to-end strengthened my skills across the full stack. Designing a normalised relational schema with soft deletes, audit trails and indexes; writing an asynchronous FastAPI backend with a clean separation between routers, services and repositories; and building a reactive Vue 3 and TypeScript frontend with Pinia stores and route guards gave me practical experience of how production systems are structured. Implementing JWT authentication, a 55-permission RBAC matrix, rate limiting and audit logging taught me to treat security and accountability as core requirements, especially for systems that handle citizens’ data.</w:t>
      </w:r>
    </w:p>
    <w:p>
      <w:pPr>
        <w:spacing w:after="160" w:before="0" w:line="276"/>
        <w:jc w:val="both"/>
      </w:pPr>
      <w:r>
        <w:rPr>
          <w:rFonts w:ascii="Times New Roman" w:cs="Times New Roman" w:eastAsia="Times New Roman" w:hAnsi="Times New Roman"/>
          <w:sz w:val="24"/>
          <w:szCs w:val="24"/>
        </w:rPr>
        <w:t xml:space="preserve">The data engineering and machine-learning work taught me equally valuable lessons. I learned to design ETL pipelines that record lineage and produce data quality and provenance reports, and to train, evaluate and serve models for classification, regression and clustering. Most importantly, I learned to read evaluation results critically: a perfect F1 score was a warning sign of overly regular training data rather than a success, and a priority model that missed its target showed that some labels depend on information unavailable at prediction time. This experience reinforced the importance of honest evaluation, human override of AI outputs, and retraining on real data before deployment.</w:t>
      </w:r>
    </w:p>
    <w:p>
      <w:pPr>
        <w:spacing w:after="160" w:before="0" w:line="276"/>
        <w:jc w:val="both"/>
      </w:pPr>
      <w:r>
        <w:rPr>
          <w:rFonts w:ascii="Times New Roman" w:cs="Times New Roman" w:eastAsia="Times New Roman" w:hAnsi="Times New Roman"/>
          <w:sz w:val="24"/>
          <w:szCs w:val="24"/>
        </w:rPr>
        <w:t xml:space="preserve">Working with containerisation, CI/CD pipelines, real-time WebSockets, GIS mapping and LLM integration with a reliable rule-based fallback exposed me to modern engineering practices that I will carry forward into my career.</w:t>
      </w:r>
    </w:p>
    <w:p>
      <w:pPr>
        <w:spacing w:after="160" w:before="0" w:line="276"/>
        <w:jc w:val="both"/>
      </w:pPr>
      <w:r>
        <w:rPr>
          <w:rFonts w:ascii="Times New Roman" w:cs="Times New Roman" w:eastAsia="Times New Roman" w:hAnsi="Times New Roman"/>
          <w:sz w:val="24"/>
          <w:szCs w:val="24"/>
        </w:rPr>
        <w:t xml:space="preserve">In terms of impact, the prototype was reviewed by the Commissioner, Shivamogga City Corporation and Managing Director, Shivamogga Smart City Limited, who recognised four value propositions of CivilInc: an </w:t>
      </w:r>
      <w:r>
        <w:rPr>
          <w:rFonts w:ascii="Times New Roman" w:cs="Times New Roman" w:eastAsia="Times New Roman" w:hAnsi="Times New Roman"/>
          <w:b/>
          <w:bCs/>
          <w:sz w:val="24"/>
          <w:szCs w:val="24"/>
        </w:rPr>
        <w:t xml:space="preserve">end-to-end digital grievance redressal system</w:t>
      </w:r>
      <w:r>
        <w:rPr>
          <w:rFonts w:ascii="Times New Roman" w:cs="Times New Roman" w:eastAsia="Times New Roman" w:hAnsi="Times New Roman"/>
          <w:sz w:val="24"/>
          <w:szCs w:val="24"/>
        </w:rPr>
        <w:t xml:space="preserve"> for citizens and officials, </w:t>
      </w:r>
      <w:r>
        <w:rPr>
          <w:rFonts w:ascii="Times New Roman" w:cs="Times New Roman" w:eastAsia="Times New Roman" w:hAnsi="Times New Roman"/>
          <w:b/>
          <w:bCs/>
          <w:sz w:val="24"/>
          <w:szCs w:val="24"/>
        </w:rPr>
        <w:t xml:space="preserve">cross-departmental coordination</w:t>
      </w:r>
      <w:r>
        <w:rPr>
          <w:rFonts w:ascii="Times New Roman" w:cs="Times New Roman" w:eastAsia="Times New Roman" w:hAnsi="Times New Roman"/>
          <w:sz w:val="24"/>
          <w:szCs w:val="24"/>
        </w:rPr>
        <w:t xml:space="preserve"> through a centralised platform, </w:t>
      </w:r>
      <w:r>
        <w:rPr>
          <w:rFonts w:ascii="Times New Roman" w:cs="Times New Roman" w:eastAsia="Times New Roman" w:hAnsi="Times New Roman"/>
          <w:b/>
          <w:bCs/>
          <w:sz w:val="24"/>
          <w:szCs w:val="24"/>
        </w:rPr>
        <w:t xml:space="preserve">real-time analytics and dashboards</w:t>
      </w:r>
      <w:r>
        <w:rPr>
          <w:rFonts w:ascii="Times New Roman" w:cs="Times New Roman" w:eastAsia="Times New Roman" w:hAnsi="Times New Roman"/>
          <w:sz w:val="24"/>
          <w:szCs w:val="24"/>
        </w:rPr>
        <w:t xml:space="preserve"> for performance tracking and decision-making, and </w:t>
      </w:r>
      <w:r>
        <w:rPr>
          <w:rFonts w:ascii="Times New Roman" w:cs="Times New Roman" w:eastAsia="Times New Roman" w:hAnsi="Times New Roman"/>
          <w:b/>
          <w:bCs/>
          <w:sz w:val="24"/>
          <w:szCs w:val="24"/>
        </w:rPr>
        <w:t xml:space="preserve">transparency and accountability</w:t>
      </w:r>
      <w:r>
        <w:rPr>
          <w:rFonts w:ascii="Times New Roman" w:cs="Times New Roman" w:eastAsia="Times New Roman" w:hAnsi="Times New Roman"/>
          <w:sz w:val="24"/>
          <w:szCs w:val="24"/>
        </w:rPr>
        <w:t xml:space="preserve"> aligned with Smart City goals and governance reforms. The letter of recommendation describes the work as “commendable and promising for practical pilot implementation and future development” – the most meaningful outcome of this training for me.</w:t>
      </w:r>
    </w:p>
    <w:p>
      <w:pPr>
        <w:spacing w:after="160" w:before="0" w:line="276"/>
        <w:jc w:val="both"/>
      </w:pPr>
      <w:r>
        <w:rPr>
          <w:rFonts w:ascii="Times New Roman" w:cs="Times New Roman" w:eastAsia="Times New Roman" w:hAnsi="Times New Roman"/>
          <w:sz w:val="24"/>
          <w:szCs w:val="24"/>
        </w:rPr>
        <w:t xml:space="preserve">Beyond technical knowledge, the training improved my ability to communicate with non-technical stakeholders, convert informal requirements into precise specifications, work independently on a large codebase of more than 9,000 lines across the frontend, backend and AI pipelines, and document design decisions clearly.</w:t>
      </w:r>
    </w:p>
    <w:p>
      <w:r>
        <w:br w:type="page"/>
      </w:r>
    </w:p>
    <w:p>
      <w:pPr>
        <w:pStyle w:val="Heading1"/>
        <w:spacing w:after="120"/>
        <w:jc w:val="center"/>
      </w:pPr>
      <w:r>
        <w:rPr>
          <w:rFonts w:ascii="Times New Roman" w:cs="Times New Roman" w:eastAsia="Times New Roman" w:hAnsi="Times New Roman"/>
          <w:b/>
          <w:bCs/>
          <w:sz w:val="32"/>
          <w:szCs w:val="32"/>
        </w:rPr>
        <w:t xml:space="preserve">Chapter 4</w:t>
      </w:r>
    </w:p>
    <w:p>
      <w:pPr>
        <w:spacing w:after="360"/>
        <w:jc w:val="center"/>
      </w:pPr>
      <w:r>
        <w:rPr>
          <w:rFonts w:ascii="Times New Roman" w:cs="Times New Roman" w:eastAsia="Times New Roman" w:hAnsi="Times New Roman"/>
          <w:b/>
          <w:bCs/>
          <w:sz w:val="32"/>
          <w:szCs w:val="32"/>
        </w:rPr>
        <w:t xml:space="preserve">CONCLUDING REMARKS</w:t>
      </w:r>
    </w:p>
    <w:p>
      <w:pPr>
        <w:spacing w:after="160" w:before="0" w:line="276"/>
        <w:jc w:val="both"/>
      </w:pPr>
      <w:r>
        <w:rPr>
          <w:rFonts w:ascii="Times New Roman" w:cs="Times New Roman" w:eastAsia="Times New Roman" w:hAnsi="Times New Roman"/>
          <w:sz w:val="24"/>
          <w:szCs w:val="24"/>
        </w:rPr>
        <w:t xml:space="preserve">The industrial training undertaken with Shivamogga Smart City Limited bridged the gap between academic computer science and the practical challenges of urban governance. It allowed me to study a real public-service process, identify its shortcomings and independently design and build a working solution.</w:t>
      </w:r>
    </w:p>
    <w:p>
      <w:pPr>
        <w:spacing w:after="160" w:before="0" w:line="276"/>
        <w:jc w:val="both"/>
      </w:pPr>
      <w:r>
        <w:rPr>
          <w:rFonts w:ascii="Times New Roman" w:cs="Times New Roman" w:eastAsia="Times New Roman" w:hAnsi="Times New Roman"/>
          <w:sz w:val="24"/>
          <w:szCs w:val="24"/>
        </w:rPr>
        <w:t xml:space="preserve">CivilInc brings complaint registration, AI-assisted triage, SLA tracking and escalation, project and budget monitoring, GIS mapping, analytics, a discussion forum, real-time notifications and a natural-language assistant together in a single secure, role-based platform. It demonstrates how digital tools can make municipal administration faster, more coordinated, more transparent and more accountable to citizens.</w:t>
      </w:r>
    </w:p>
    <w:p>
      <w:pPr>
        <w:spacing w:after="160" w:before="0" w:line="276"/>
        <w:jc w:val="both"/>
      </w:pPr>
      <w:r>
        <w:rPr>
          <w:rFonts w:ascii="Times New Roman" w:cs="Times New Roman" w:eastAsia="Times New Roman" w:hAnsi="Times New Roman"/>
          <w:sz w:val="24"/>
          <w:szCs w:val="24"/>
        </w:rPr>
        <w:t xml:space="preserve">As a prototype, the platform has some limitations which also define the path for future development: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Retraining the AI models on real, anonymised grievance and project records of Shivamogga City Corporation, and configuring the platform with Shivamogga’s ward boundaries and departmental SLAs.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Integration with existing government systems and channels such as helplines, WhatsApp and SMS gateways, and the city’s command-and-control centre.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Support for Kannada and voice input to make complaint registration accessible to all citizens, and photo-based issue detection.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 Redis-backed distributed rate limiter and caching layer, and load testing for city-scale traffic, before production deployment.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 controlled pilot in selected wards to measure improvements in resolution time and citizen satisfaction.</w:t>
      </w:r>
    </w:p>
    <w:p>
      <w:pPr>
        <w:spacing w:after="160" w:before="0" w:line="276"/>
        <w:jc w:val="both"/>
      </w:pPr>
      <w:r>
        <w:rPr>
          <w:rFonts w:ascii="Times New Roman" w:cs="Times New Roman" w:eastAsia="Times New Roman" w:hAnsi="Times New Roman"/>
          <w:sz w:val="24"/>
          <w:szCs w:val="24"/>
        </w:rPr>
        <w:t xml:space="preserve">Overall, this industrial training was extremely valuable. It deepened my understanding of full-stack development, data engineering, machine learning and secure system design, and showed me how technology can be applied responsibly for public good. The recognition received from the Commissioner and Managing Director has strengthened my confidence and motivation to continue working in the field of civic technology, and the knowledge gained will benefit my academic and professional pursuits in the future.</w:t>
      </w:r>
    </w:p>
    <w:p>
      <w:r>
        <w:br w:type="page"/>
      </w:r>
    </w:p>
    <w:p>
      <w:pPr>
        <w:pStyle w:val="Heading1"/>
        <w:spacing w:after="360"/>
        <w:jc w:val="center"/>
      </w:pPr>
      <w:r>
        <w:rPr>
          <w:rFonts w:ascii="Times New Roman" w:cs="Times New Roman" w:eastAsia="Times New Roman" w:hAnsi="Times New Roman"/>
          <w:b/>
          <w:bCs/>
          <w:sz w:val="32"/>
          <w:szCs w:val="32"/>
        </w:rPr>
        <w:t xml:space="preserve">REFERENCES</w:t>
      </w:r>
    </w:p>
    <w:p>
      <w:pPr>
        <w:spacing w:after="160"/>
      </w:pPr>
      <w:r>
        <w:rPr>
          <w:rFonts w:ascii="Times New Roman" w:cs="Times New Roman" w:eastAsia="Times New Roman" w:hAnsi="Times New Roman"/>
          <w:sz w:val="24"/>
          <w:szCs w:val="24"/>
        </w:rPr>
        <w:t xml:space="preserve">Ministry of Housing and Urban Affairs, Government of India. (n.d.). </w:t>
      </w:r>
      <w:r>
        <w:rPr>
          <w:rFonts w:ascii="Times New Roman" w:cs="Times New Roman" w:eastAsia="Times New Roman" w:hAnsi="Times New Roman"/>
          <w:i/>
          <w:iCs/>
          <w:sz w:val="24"/>
          <w:szCs w:val="24"/>
        </w:rPr>
        <w:t xml:space="preserve">Smart Cities Mission</w:t>
      </w:r>
      <w:r>
        <w:rPr>
          <w:rFonts w:ascii="Times New Roman" w:cs="Times New Roman" w:eastAsia="Times New Roman" w:hAnsi="Times New Roman"/>
          <w:sz w:val="24"/>
          <w:szCs w:val="24"/>
        </w:rPr>
        <w:t xml:space="preserve">. </w:t>
      </w:r>
      <w:hyperlink w:history="1" r:id="rIdkfyxe9icys7p7idnk0zsx">
        <w:r>
          <w:rPr>
            <w:rFonts w:ascii="Times New Roman" w:cs="Times New Roman" w:eastAsia="Times New Roman" w:hAnsi="Times New Roman"/>
            <w:sz w:val="24"/>
            <w:szCs w:val="24"/>
            <w:u w:val="single"/>
          </w:rPr>
          <w:t xml:space="preserve">https://smartcities.gov.in/</w:t>
        </w:r>
      </w:hyperlink>
    </w:p>
    <w:p>
      <w:pPr>
        <w:spacing w:after="160"/>
      </w:pPr>
      <w:r>
        <w:rPr>
          <w:rFonts w:ascii="Times New Roman" w:cs="Times New Roman" w:eastAsia="Times New Roman" w:hAnsi="Times New Roman"/>
          <w:sz w:val="24"/>
          <w:szCs w:val="24"/>
        </w:rPr>
        <w:t xml:space="preserve">FastAPI. (n.d.). </w:t>
      </w:r>
      <w:r>
        <w:rPr>
          <w:rFonts w:ascii="Times New Roman" w:cs="Times New Roman" w:eastAsia="Times New Roman" w:hAnsi="Times New Roman"/>
          <w:i/>
          <w:iCs/>
          <w:sz w:val="24"/>
          <w:szCs w:val="24"/>
        </w:rPr>
        <w:t xml:space="preserve">FastAPI documentation</w:t>
      </w:r>
      <w:r>
        <w:rPr>
          <w:rFonts w:ascii="Times New Roman" w:cs="Times New Roman" w:eastAsia="Times New Roman" w:hAnsi="Times New Roman"/>
          <w:sz w:val="24"/>
          <w:szCs w:val="24"/>
        </w:rPr>
        <w:t xml:space="preserve">. </w:t>
      </w:r>
      <w:hyperlink w:history="1" r:id="rIdewd17hijl-bl6qvxscf_8">
        <w:r>
          <w:rPr>
            <w:rFonts w:ascii="Times New Roman" w:cs="Times New Roman" w:eastAsia="Times New Roman" w:hAnsi="Times New Roman"/>
            <w:sz w:val="24"/>
            <w:szCs w:val="24"/>
            <w:u w:val="single"/>
          </w:rPr>
          <w:t xml:space="preserve">https://fastapi.tiangolo.com/</w:t>
        </w:r>
      </w:hyperlink>
    </w:p>
    <w:p>
      <w:pPr>
        <w:spacing w:after="160"/>
      </w:pPr>
      <w:r>
        <w:rPr>
          <w:rFonts w:ascii="Times New Roman" w:cs="Times New Roman" w:eastAsia="Times New Roman" w:hAnsi="Times New Roman"/>
          <w:sz w:val="24"/>
          <w:szCs w:val="24"/>
        </w:rPr>
        <w:t xml:space="preserve">Vue.js. (n.d.). </w:t>
      </w:r>
      <w:r>
        <w:rPr>
          <w:rFonts w:ascii="Times New Roman" w:cs="Times New Roman" w:eastAsia="Times New Roman" w:hAnsi="Times New Roman"/>
          <w:i/>
          <w:iCs/>
          <w:sz w:val="24"/>
          <w:szCs w:val="24"/>
        </w:rPr>
        <w:t xml:space="preserve">Vue.js guide</w:t>
      </w:r>
      <w:r>
        <w:rPr>
          <w:rFonts w:ascii="Times New Roman" w:cs="Times New Roman" w:eastAsia="Times New Roman" w:hAnsi="Times New Roman"/>
          <w:sz w:val="24"/>
          <w:szCs w:val="24"/>
        </w:rPr>
        <w:t xml:space="preserve">. </w:t>
      </w:r>
      <w:hyperlink w:history="1" r:id="rId21hhgsdscfotx8xsnx7mb">
        <w:r>
          <w:rPr>
            <w:rFonts w:ascii="Times New Roman" w:cs="Times New Roman" w:eastAsia="Times New Roman" w:hAnsi="Times New Roman"/>
            <w:sz w:val="24"/>
            <w:szCs w:val="24"/>
            <w:u w:val="single"/>
          </w:rPr>
          <w:t xml:space="preserve">https://vuejs.org/guide/introduction.html</w:t>
        </w:r>
      </w:hyperlink>
    </w:p>
    <w:p>
      <w:pPr>
        <w:spacing w:after="160"/>
      </w:pPr>
      <w:r>
        <w:rPr>
          <w:rFonts w:ascii="Times New Roman" w:cs="Times New Roman" w:eastAsia="Times New Roman" w:hAnsi="Times New Roman"/>
          <w:sz w:val="24"/>
          <w:szCs w:val="24"/>
        </w:rPr>
        <w:t xml:space="preserve">SQLAlchemy. (n.d.). </w:t>
      </w:r>
      <w:r>
        <w:rPr>
          <w:rFonts w:ascii="Times New Roman" w:cs="Times New Roman" w:eastAsia="Times New Roman" w:hAnsi="Times New Roman"/>
          <w:i/>
          <w:iCs/>
          <w:sz w:val="24"/>
          <w:szCs w:val="24"/>
        </w:rPr>
        <w:t xml:space="preserve">SQLAlchemy 2.0 documentation</w:t>
      </w:r>
      <w:r>
        <w:rPr>
          <w:rFonts w:ascii="Times New Roman" w:cs="Times New Roman" w:eastAsia="Times New Roman" w:hAnsi="Times New Roman"/>
          <w:sz w:val="24"/>
          <w:szCs w:val="24"/>
        </w:rPr>
        <w:t xml:space="preserve">. </w:t>
      </w:r>
      <w:hyperlink w:history="1" r:id="rIdqxjl3bcpzajknrqrsyqwc">
        <w:r>
          <w:rPr>
            <w:rFonts w:ascii="Times New Roman" w:cs="Times New Roman" w:eastAsia="Times New Roman" w:hAnsi="Times New Roman"/>
            <w:sz w:val="24"/>
            <w:szCs w:val="24"/>
            <w:u w:val="single"/>
          </w:rPr>
          <w:t xml:space="preserve">https://docs.sqlalchemy.org/en/20/</w:t>
        </w:r>
      </w:hyperlink>
    </w:p>
    <w:p>
      <w:pPr>
        <w:spacing w:after="160"/>
      </w:pPr>
      <w:r>
        <w:rPr>
          <w:rFonts w:ascii="Times New Roman" w:cs="Times New Roman" w:eastAsia="Times New Roman" w:hAnsi="Times New Roman"/>
          <w:sz w:val="24"/>
          <w:szCs w:val="24"/>
        </w:rPr>
        <w:t xml:space="preserve">PostgreSQL Global Development Group. (n.d.). </w:t>
      </w:r>
      <w:r>
        <w:rPr>
          <w:rFonts w:ascii="Times New Roman" w:cs="Times New Roman" w:eastAsia="Times New Roman" w:hAnsi="Times New Roman"/>
          <w:i/>
          <w:iCs/>
          <w:sz w:val="24"/>
          <w:szCs w:val="24"/>
        </w:rPr>
        <w:t xml:space="preserve">PostgreSQL 16 documentation</w:t>
      </w:r>
      <w:r>
        <w:rPr>
          <w:rFonts w:ascii="Times New Roman" w:cs="Times New Roman" w:eastAsia="Times New Roman" w:hAnsi="Times New Roman"/>
          <w:sz w:val="24"/>
          <w:szCs w:val="24"/>
        </w:rPr>
        <w:t xml:space="preserve">. </w:t>
      </w:r>
      <w:hyperlink w:history="1" r:id="rIdmbbzdwdwkgxm8guau4yab">
        <w:r>
          <w:rPr>
            <w:rFonts w:ascii="Times New Roman" w:cs="Times New Roman" w:eastAsia="Times New Roman" w:hAnsi="Times New Roman"/>
            <w:sz w:val="24"/>
            <w:szCs w:val="24"/>
            <w:u w:val="single"/>
          </w:rPr>
          <w:t xml:space="preserve">https://www.postgresql.org/docs/16/</w:t>
        </w:r>
      </w:hyperlink>
    </w:p>
    <w:p>
      <w:pPr>
        <w:spacing w:after="160"/>
      </w:pPr>
      <w:r>
        <w:rPr>
          <w:rFonts w:ascii="Times New Roman" w:cs="Times New Roman" w:eastAsia="Times New Roman" w:hAnsi="Times New Roman"/>
          <w:sz w:val="24"/>
          <w:szCs w:val="24"/>
        </w:rPr>
        <w:t xml:space="preserve">Pedregosa, F., et al. (2011). </w:t>
      </w:r>
      <w:r>
        <w:rPr>
          <w:rFonts w:ascii="Times New Roman" w:cs="Times New Roman" w:eastAsia="Times New Roman" w:hAnsi="Times New Roman"/>
          <w:i/>
          <w:iCs/>
          <w:sz w:val="24"/>
          <w:szCs w:val="24"/>
        </w:rPr>
        <w:t xml:space="preserve">Scikit-learn: Machine learning in Python. Journal of Machine Learning Research, 12, 2825–2830</w:t>
      </w:r>
      <w:r>
        <w:rPr>
          <w:rFonts w:ascii="Times New Roman" w:cs="Times New Roman" w:eastAsia="Times New Roman" w:hAnsi="Times New Roman"/>
          <w:sz w:val="24"/>
          <w:szCs w:val="24"/>
        </w:rPr>
        <w:t xml:space="preserve">. </w:t>
      </w:r>
      <w:hyperlink w:history="1" r:id="rId-sge8vs5b9rfamu2o4vxm">
        <w:r>
          <w:rPr>
            <w:rFonts w:ascii="Times New Roman" w:cs="Times New Roman" w:eastAsia="Times New Roman" w:hAnsi="Times New Roman"/>
            <w:sz w:val="24"/>
            <w:szCs w:val="24"/>
            <w:u w:val="single"/>
          </w:rPr>
          <w:t xml:space="preserve">https://scikit-learn.org/stable/</w:t>
        </w:r>
      </w:hyperlink>
    </w:p>
    <w:p>
      <w:pPr>
        <w:spacing w:after="160"/>
      </w:pPr>
      <w:r>
        <w:rPr>
          <w:rFonts w:ascii="Times New Roman" w:cs="Times New Roman" w:eastAsia="Times New Roman" w:hAnsi="Times New Roman"/>
          <w:sz w:val="24"/>
          <w:szCs w:val="24"/>
        </w:rPr>
        <w:t xml:space="preserve">Ke, G., et al. (2017). </w:t>
      </w:r>
      <w:r>
        <w:rPr>
          <w:rFonts w:ascii="Times New Roman" w:cs="Times New Roman" w:eastAsia="Times New Roman" w:hAnsi="Times New Roman"/>
          <w:i/>
          <w:iCs/>
          <w:sz w:val="24"/>
          <w:szCs w:val="24"/>
        </w:rPr>
        <w:t xml:space="preserve">LightGBM: A highly efficient gradient boosting decision tree. Advances in Neural Information Processing Systems 30</w:t>
      </w:r>
      <w:r>
        <w:rPr>
          <w:rFonts w:ascii="Times New Roman" w:cs="Times New Roman" w:eastAsia="Times New Roman" w:hAnsi="Times New Roman"/>
          <w:sz w:val="24"/>
          <w:szCs w:val="24"/>
        </w:rPr>
        <w:t xml:space="preserve">. </w:t>
      </w:r>
      <w:hyperlink w:history="1" r:id="rId2os2masms-baqyziyg96u">
        <w:r>
          <w:rPr>
            <w:rFonts w:ascii="Times New Roman" w:cs="Times New Roman" w:eastAsia="Times New Roman" w:hAnsi="Times New Roman"/>
            <w:sz w:val="24"/>
            <w:szCs w:val="24"/>
            <w:u w:val="single"/>
          </w:rPr>
          <w:t xml:space="preserve">https://lightgbm.readthedocs.io/</w:t>
        </w:r>
      </w:hyperlink>
    </w:p>
    <w:p>
      <w:pPr>
        <w:spacing w:after="160"/>
      </w:pPr>
      <w:r>
        <w:rPr>
          <w:rFonts w:ascii="Times New Roman" w:cs="Times New Roman" w:eastAsia="Times New Roman" w:hAnsi="Times New Roman"/>
          <w:sz w:val="24"/>
          <w:szCs w:val="24"/>
        </w:rPr>
        <w:t xml:space="preserve">Chen, T., &amp; Guestrin, C. (2016). </w:t>
      </w:r>
      <w:r>
        <w:rPr>
          <w:rFonts w:ascii="Times New Roman" w:cs="Times New Roman" w:eastAsia="Times New Roman" w:hAnsi="Times New Roman"/>
          <w:i/>
          <w:iCs/>
          <w:sz w:val="24"/>
          <w:szCs w:val="24"/>
        </w:rPr>
        <w:t xml:space="preserve">XGBoost: A scalable tree boosting system. Proceedings of the 22nd ACM SIGKDD Conference</w:t>
      </w:r>
      <w:r>
        <w:rPr>
          <w:rFonts w:ascii="Times New Roman" w:cs="Times New Roman" w:eastAsia="Times New Roman" w:hAnsi="Times New Roman"/>
          <w:sz w:val="24"/>
          <w:szCs w:val="24"/>
        </w:rPr>
        <w:t xml:space="preserve">. </w:t>
      </w:r>
      <w:hyperlink w:history="1" r:id="rIdi0pyi-namrytgrhfurjg5">
        <w:r>
          <w:rPr>
            <w:rFonts w:ascii="Times New Roman" w:cs="Times New Roman" w:eastAsia="Times New Roman" w:hAnsi="Times New Roman"/>
            <w:sz w:val="24"/>
            <w:szCs w:val="24"/>
            <w:u w:val="single"/>
          </w:rPr>
          <w:t xml:space="preserve">https://xgboost.readthedocs.io/</w:t>
        </w:r>
      </w:hyperlink>
    </w:p>
    <w:p>
      <w:pPr>
        <w:spacing w:after="160"/>
      </w:pPr>
      <w:r>
        <w:rPr>
          <w:rFonts w:ascii="Times New Roman" w:cs="Times New Roman" w:eastAsia="Times New Roman" w:hAnsi="Times New Roman"/>
          <w:sz w:val="24"/>
          <w:szCs w:val="24"/>
        </w:rPr>
        <w:t xml:space="preserve">Jones, M., Bradley, J., &amp; Sakimura, N. (2015). </w:t>
      </w:r>
      <w:r>
        <w:rPr>
          <w:rFonts w:ascii="Times New Roman" w:cs="Times New Roman" w:eastAsia="Times New Roman" w:hAnsi="Times New Roman"/>
          <w:i/>
          <w:iCs/>
          <w:sz w:val="24"/>
          <w:szCs w:val="24"/>
        </w:rPr>
        <w:t xml:space="preserve">JSON Web Token (JWT), RFC 7519</w:t>
      </w:r>
      <w:r>
        <w:rPr>
          <w:rFonts w:ascii="Times New Roman" w:cs="Times New Roman" w:eastAsia="Times New Roman" w:hAnsi="Times New Roman"/>
          <w:sz w:val="24"/>
          <w:szCs w:val="24"/>
        </w:rPr>
        <w:t xml:space="preserve">. </w:t>
      </w:r>
      <w:hyperlink w:history="1" r:id="rIdphxrcgpr1pjrn5wwqvb8i">
        <w:r>
          <w:rPr>
            <w:rFonts w:ascii="Times New Roman" w:cs="Times New Roman" w:eastAsia="Times New Roman" w:hAnsi="Times New Roman"/>
            <w:sz w:val="24"/>
            <w:szCs w:val="24"/>
            <w:u w:val="single"/>
          </w:rPr>
          <w:t xml:space="preserve">https://datatracker.ietf.org/doc/html/rfc7519</w:t>
        </w:r>
      </w:hyperlink>
    </w:p>
    <w:p>
      <w:pPr>
        <w:spacing w:after="160"/>
      </w:pPr>
      <w:r>
        <w:rPr>
          <w:rFonts w:ascii="Times New Roman" w:cs="Times New Roman" w:eastAsia="Times New Roman" w:hAnsi="Times New Roman"/>
          <w:sz w:val="24"/>
          <w:szCs w:val="24"/>
        </w:rPr>
        <w:t xml:space="preserve">Leaflet. (n.d.). </w:t>
      </w:r>
      <w:r>
        <w:rPr>
          <w:rFonts w:ascii="Times New Roman" w:cs="Times New Roman" w:eastAsia="Times New Roman" w:hAnsi="Times New Roman"/>
          <w:i/>
          <w:iCs/>
          <w:sz w:val="24"/>
          <w:szCs w:val="24"/>
        </w:rPr>
        <w:t xml:space="preserve">Leaflet documentation</w:t>
      </w:r>
      <w:r>
        <w:rPr>
          <w:rFonts w:ascii="Times New Roman" w:cs="Times New Roman" w:eastAsia="Times New Roman" w:hAnsi="Times New Roman"/>
          <w:sz w:val="24"/>
          <w:szCs w:val="24"/>
        </w:rPr>
        <w:t xml:space="preserve">. </w:t>
      </w:r>
      <w:hyperlink w:history="1" r:id="rIdg1i3vcoupbrx64sbohxkj">
        <w:r>
          <w:rPr>
            <w:rFonts w:ascii="Times New Roman" w:cs="Times New Roman" w:eastAsia="Times New Roman" w:hAnsi="Times New Roman"/>
            <w:sz w:val="24"/>
            <w:szCs w:val="24"/>
            <w:u w:val="single"/>
          </w:rPr>
          <w:t xml:space="preserve">https://leafletjs.com/reference.html</w:t>
        </w:r>
      </w:hyperlink>
    </w:p>
    <w:p>
      <w:pPr>
        <w:spacing w:after="160"/>
      </w:pPr>
      <w:r>
        <w:rPr>
          <w:rFonts w:ascii="Times New Roman" w:cs="Times New Roman" w:eastAsia="Times New Roman" w:hAnsi="Times New Roman"/>
          <w:sz w:val="24"/>
          <w:szCs w:val="24"/>
        </w:rPr>
        <w:t xml:space="preserve">OpenStreetMap contributors. (n.d.). </w:t>
      </w:r>
      <w:r>
        <w:rPr>
          <w:rFonts w:ascii="Times New Roman" w:cs="Times New Roman" w:eastAsia="Times New Roman" w:hAnsi="Times New Roman"/>
          <w:i/>
          <w:iCs/>
          <w:sz w:val="24"/>
          <w:szCs w:val="24"/>
        </w:rPr>
        <w:t xml:space="preserve">OpenStreetMap</w:t>
      </w:r>
      <w:r>
        <w:rPr>
          <w:rFonts w:ascii="Times New Roman" w:cs="Times New Roman" w:eastAsia="Times New Roman" w:hAnsi="Times New Roman"/>
          <w:sz w:val="24"/>
          <w:szCs w:val="24"/>
        </w:rPr>
        <w:t xml:space="preserve">. </w:t>
      </w:r>
      <w:hyperlink w:history="1" r:id="rIdczwncd38i1m0jj5qgcymr">
        <w:r>
          <w:rPr>
            <w:rFonts w:ascii="Times New Roman" w:cs="Times New Roman" w:eastAsia="Times New Roman" w:hAnsi="Times New Roman"/>
            <w:sz w:val="24"/>
            <w:szCs w:val="24"/>
            <w:u w:val="single"/>
          </w:rPr>
          <w:t xml:space="preserve">https://www.openstreetmap.org/</w:t>
        </w:r>
      </w:hyperlink>
    </w:p>
    <w:p>
      <w:pPr>
        <w:spacing w:after="160"/>
      </w:pPr>
      <w:r>
        <w:rPr>
          <w:rFonts w:ascii="Times New Roman" w:cs="Times New Roman" w:eastAsia="Times New Roman" w:hAnsi="Times New Roman"/>
          <w:sz w:val="24"/>
          <w:szCs w:val="24"/>
        </w:rPr>
        <w:t xml:space="preserve">Docker Inc. (n.d.). </w:t>
      </w:r>
      <w:r>
        <w:rPr>
          <w:rFonts w:ascii="Times New Roman" w:cs="Times New Roman" w:eastAsia="Times New Roman" w:hAnsi="Times New Roman"/>
          <w:i/>
          <w:iCs/>
          <w:sz w:val="24"/>
          <w:szCs w:val="24"/>
        </w:rPr>
        <w:t xml:space="preserve">Docker Compose documentation</w:t>
      </w:r>
      <w:r>
        <w:rPr>
          <w:rFonts w:ascii="Times New Roman" w:cs="Times New Roman" w:eastAsia="Times New Roman" w:hAnsi="Times New Roman"/>
          <w:sz w:val="24"/>
          <w:szCs w:val="24"/>
        </w:rPr>
        <w:t xml:space="preserve">. </w:t>
      </w:r>
      <w:hyperlink w:history="1" r:id="rIdyxw-sdhj_-lgcoj99fiwm">
        <w:r>
          <w:rPr>
            <w:rFonts w:ascii="Times New Roman" w:cs="Times New Roman" w:eastAsia="Times New Roman" w:hAnsi="Times New Roman"/>
            <w:sz w:val="24"/>
            <w:szCs w:val="24"/>
            <w:u w:val="single"/>
          </w:rPr>
          <w:t xml:space="preserve">https://docs.docker.com/compose/</w:t>
        </w:r>
      </w:hyperlink>
    </w:p>
    <w:p>
      <w:pPr>
        <w:spacing w:after="160"/>
      </w:pPr>
      <w:r>
        <w:rPr>
          <w:rFonts w:ascii="Times New Roman" w:cs="Times New Roman" w:eastAsia="Times New Roman" w:hAnsi="Times New Roman"/>
          <w:sz w:val="24"/>
          <w:szCs w:val="24"/>
        </w:rPr>
        <w:t xml:space="preserve">Anthropic. (n.d.). </w:t>
      </w:r>
      <w:r>
        <w:rPr>
          <w:rFonts w:ascii="Times New Roman" w:cs="Times New Roman" w:eastAsia="Times New Roman" w:hAnsi="Times New Roman"/>
          <w:i/>
          <w:iCs/>
          <w:sz w:val="24"/>
          <w:szCs w:val="24"/>
        </w:rPr>
        <w:t xml:space="preserve">Claude API documentation</w:t>
      </w:r>
      <w:r>
        <w:rPr>
          <w:rFonts w:ascii="Times New Roman" w:cs="Times New Roman" w:eastAsia="Times New Roman" w:hAnsi="Times New Roman"/>
          <w:sz w:val="24"/>
          <w:szCs w:val="24"/>
        </w:rPr>
        <w:t xml:space="preserve">. </w:t>
      </w:r>
      <w:hyperlink w:history="1" r:id="rId3rpmqh8zsq1o1tlfnsnvg">
        <w:r>
          <w:rPr>
            <w:rFonts w:ascii="Times New Roman" w:cs="Times New Roman" w:eastAsia="Times New Roman" w:hAnsi="Times New Roman"/>
            <w:sz w:val="24"/>
            <w:szCs w:val="24"/>
            <w:u w:val="single"/>
          </w:rPr>
          <w:t xml:space="preserve">https://docs.anthropic.com/</w:t>
        </w:r>
      </w:hyperlink>
    </w:p>
    <w:p>
      <w:r>
        <w:br w:type="page"/>
      </w:r>
    </w:p>
    <w:p>
      <w:pPr>
        <w:pStyle w:val="Heading1"/>
        <w:spacing w:after="360"/>
        <w:jc w:val="center"/>
      </w:pPr>
      <w:r>
        <w:rPr>
          <w:rFonts w:ascii="Times New Roman" w:cs="Times New Roman" w:eastAsia="Times New Roman" w:hAnsi="Times New Roman"/>
          <w:b/>
          <w:bCs/>
          <w:sz w:val="32"/>
          <w:szCs w:val="32"/>
        </w:rPr>
        <w:t xml:space="preserve">PLAGIARISM / SIMILARITY REPORT</w:t>
      </w:r>
    </w:p>
    <w:p>
      <w:pPr>
        <w:spacing w:after="160" w:before="0" w:line="276"/>
        <w:jc w:val="left"/>
      </w:pPr>
      <w:r>
        <w:rPr>
          <w:rFonts w:ascii="Times New Roman" w:cs="Times New Roman" w:eastAsia="Times New Roman" w:hAnsi="Times New Roman"/>
          <w:sz w:val="24"/>
          <w:szCs w:val="24"/>
        </w:rPr>
        <w:t xml:space="preserve">Turnitin Similarity Report</w:t>
      </w:r>
    </w:p>
    <w:p>
      <w:pPr>
        <w:spacing w:after="2400" w:before="0" w:line="276"/>
        <w:jc w:val="left"/>
      </w:pPr>
      <w:r>
        <w:rPr>
          <w:rFonts w:ascii="Times New Roman" w:cs="Times New Roman" w:eastAsia="Times New Roman" w:hAnsi="Times New Roman"/>
          <w:sz w:val="24"/>
          <w:szCs w:val="24"/>
          <w:highlight w:val="yellow"/>
          <w:highlightCs w:val="yellow"/>
        </w:rPr>
        <w:t xml:space="preserve">Insert the Turnitin similarity report screenshot here after running the final report through Turnitin.</w:t>
      </w:r>
    </w:p>
    <w:p>
      <w:pPr>
        <w:spacing w:after="160" w:before="0" w:line="276"/>
        <w:jc w:val="left"/>
      </w:pPr>
      <w:r>
        <w:rPr>
          <w:rFonts w:ascii="Times New Roman" w:cs="Times New Roman" w:eastAsia="Times New Roman" w:hAnsi="Times New Roman"/>
          <w:sz w:val="24"/>
          <w:szCs w:val="24"/>
        </w:rPr>
        <w:t xml:space="preserve">Turnitin AI Writing Detection Report</w:t>
      </w:r>
    </w:p>
    <w:p>
      <w:pPr>
        <w:spacing w:after="160" w:before="0" w:line="276"/>
        <w:jc w:val="left"/>
      </w:pPr>
      <w:r>
        <w:rPr>
          <w:rFonts w:ascii="Times New Roman" w:cs="Times New Roman" w:eastAsia="Times New Roman" w:hAnsi="Times New Roman"/>
          <w:sz w:val="24"/>
          <w:szCs w:val="24"/>
          <w:highlight w:val="yellow"/>
          <w:highlightCs w:val="yellow"/>
        </w:rPr>
        <w:t xml:space="preserve">Insert the Turnitin AI writing detection report screenshot here.</w:t>
      </w:r>
    </w:p>
    <w:p>
      <w:r>
        <w:br w:type="page"/>
      </w:r>
    </w:p>
    <w:p>
      <w:pPr>
        <w:pStyle w:val="Heading1"/>
        <w:spacing w:after="360"/>
        <w:jc w:val="center"/>
      </w:pPr>
      <w:r>
        <w:rPr>
          <w:rFonts w:ascii="Times New Roman" w:cs="Times New Roman" w:eastAsia="Times New Roman" w:hAnsi="Times New Roman"/>
          <w:b/>
          <w:bCs/>
          <w:sz w:val="32"/>
          <w:szCs w:val="32"/>
        </w:rPr>
        <w:t xml:space="preserve">ANNEXURES</w:t>
      </w:r>
    </w:p>
    <w:p>
      <w:pPr>
        <w:pStyle w:val="Heading2"/>
        <w:keepNext/>
        <w:spacing w:after="160" w:before="320"/>
      </w:pPr>
      <w:r>
        <w:rPr>
          <w:rFonts w:ascii="Times New Roman" w:cs="Times New Roman" w:eastAsia="Times New Roman" w:hAnsi="Times New Roman"/>
          <w:b/>
          <w:bCs/>
          <w:sz w:val="28"/>
          <w:szCs w:val="28"/>
        </w:rPr>
        <w:t xml:space="preserve">Appendix I: Additional Implementation Evidence</w:t>
      </w:r>
    </w:p>
    <w:p>
      <w:pPr>
        <w:spacing w:after="160" w:before="0" w:line="276"/>
        <w:jc w:val="both"/>
      </w:pPr>
      <w:r>
        <w:rPr>
          <w:rFonts w:ascii="Times New Roman" w:cs="Times New Roman" w:eastAsia="Times New Roman" w:hAnsi="Times New Roman"/>
          <w:sz w:val="24"/>
          <w:szCs w:val="24"/>
        </w:rPr>
        <w:t xml:space="preserve">This annexure includes additional evidence of the implementation of the CivilInc platform, including further screens of the application and a summary of the REST API.</w:t>
      </w:r>
    </w:p>
    <w:p>
      <w:pPr>
        <w:keepNext/>
        <w:spacing w:after="160" w:before="0" w:line="276"/>
        <w:jc w:val="left"/>
      </w:pPr>
      <w:r>
        <w:rPr>
          <w:rFonts w:ascii="Times New Roman" w:cs="Times New Roman" w:eastAsia="Times New Roman" w:hAnsi="Times New Roman"/>
          <w:sz w:val="24"/>
          <w:szCs w:val="24"/>
        </w:rPr>
        <w:t xml:space="preserve">Appendix I(a): Public Landing Page of CivilInc</w:t>
      </w:r>
    </w:p>
    <w:p>
      <w:pPr>
        <w:keepNext/>
        <w:spacing w:after="80"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A.1: Public Landing Page.</w:t>
      </w:r>
    </w:p>
    <w:p>
      <w:pPr>
        <w:keepNext/>
        <w:spacing w:after="160" w:before="0" w:line="276"/>
        <w:jc w:val="left"/>
      </w:pPr>
      <w:r>
        <w:rPr>
          <w:rFonts w:ascii="Times New Roman" w:cs="Times New Roman" w:eastAsia="Times New Roman" w:hAnsi="Times New Roman"/>
          <w:sz w:val="24"/>
          <w:szCs w:val="24"/>
        </w:rPr>
        <w:t xml:space="preserve">Appendix I(b): Officer Directory and Notification Centre</w:t>
      </w:r>
    </w:p>
    <w:p>
      <w:pPr>
        <w:keepNext/>
        <w:spacing w:after="80"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A.2: Officer Directory.</w:t>
      </w:r>
    </w:p>
    <w:p>
      <w:pPr>
        <w:keepNext/>
        <w:spacing w:after="80"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Times New Roman" w:cs="Times New Roman" w:eastAsia="Times New Roman" w:hAnsi="Times New Roman"/>
          <w:sz w:val="22"/>
          <w:szCs w:val="22"/>
        </w:rPr>
        <w:t xml:space="preserve">Figure A.3: Notification Centre.</w:t>
      </w:r>
    </w:p>
    <w:p>
      <w:pPr>
        <w:keepNext/>
        <w:spacing w:after="160" w:before="0" w:line="276"/>
        <w:jc w:val="left"/>
      </w:pPr>
      <w:r>
        <w:rPr>
          <w:rFonts w:ascii="Times New Roman" w:cs="Times New Roman" w:eastAsia="Times New Roman" w:hAnsi="Times New Roman"/>
          <w:sz w:val="24"/>
          <w:szCs w:val="24"/>
        </w:rPr>
        <w:t xml:space="preserve">Appendix I(c): Summary of REST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Router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Endpoints</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Operations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/api/v1/auth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login, register, refresh token, current user, change password, logout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/api/v1/users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list, create, get, update, soft-delete users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/api/v1/departments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list, create, get, update, department statistics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/api/v1/complaints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list (filters, pagination), create, get, update, feedback, history, escalate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/api/v1/projects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list, create, at-risk list, get, update, delete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/api/v1/forum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list/create threads, get thread, add/list comments, pin thread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/api/v1/notifications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list, unread count, mark read, mark all read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/api/v1/analytics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overview, complaints by category/status/ward, projects by status, department performance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/api/v1/gis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 points, project points, complaint heat-map</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/api/v1/ai</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 triage, project risk, ward risk, model health</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/api/v1/assistant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natural-language query, weekly commissioner report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/api/v1/ws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WebSocket hub for real-time events</w:t>
            </w:r>
          </w:p>
        </w:tc>
      </w:tr>
    </w:tbl>
    <w:p>
      <w:pPr>
        <w:spacing w:after="240" w:before="100"/>
        <w:jc w:val="center"/>
      </w:pPr>
      <w:r>
        <w:rPr>
          <w:rFonts w:ascii="Times New Roman" w:cs="Times New Roman" w:eastAsia="Times New Roman" w:hAnsi="Times New Roman"/>
          <w:sz w:val="22"/>
          <w:szCs w:val="22"/>
        </w:rPr>
        <w:t xml:space="preserve"/>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w:t>
      <w:fldChar w:fldCharType="begin"/>
      <w:instrText xml:space="preserve">PAGE</w:instrText>
      <w:fldChar w:fldCharType="separate"/>
      <w:fldChar w:fldCharType="end"/>
      <w:t xml:space="preserv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kfyxe9icys7p7idnk0zsx" Type="http://schemas.openxmlformats.org/officeDocument/2006/relationships/hyperlink" Target="https://smartcities.gov.in/" TargetMode="External"/><Relationship Id="rIdewd17hijl-bl6qvxscf_8" Type="http://schemas.openxmlformats.org/officeDocument/2006/relationships/hyperlink" Target="https://fastapi.tiangolo.com/" TargetMode="External"/><Relationship Id="rId21hhgsdscfotx8xsnx7mb" Type="http://schemas.openxmlformats.org/officeDocument/2006/relationships/hyperlink" Target="https://vuejs.org/guide/introduction.html" TargetMode="External"/><Relationship Id="rIdqxjl3bcpzajknrqrsyqwc" Type="http://schemas.openxmlformats.org/officeDocument/2006/relationships/hyperlink" Target="https://docs.sqlalchemy.org/en/20/" TargetMode="External"/><Relationship Id="rIdmbbzdwdwkgxm8guau4yab" Type="http://schemas.openxmlformats.org/officeDocument/2006/relationships/hyperlink" Target="https://www.postgresql.org/docs/16/" TargetMode="External"/><Relationship Id="rId-sge8vs5b9rfamu2o4vxm" Type="http://schemas.openxmlformats.org/officeDocument/2006/relationships/hyperlink" Target="https://scikit-learn.org/stable/" TargetMode="External"/><Relationship Id="rId2os2masms-baqyziyg96u" Type="http://schemas.openxmlformats.org/officeDocument/2006/relationships/hyperlink" Target="https://lightgbm.readthedocs.io/" TargetMode="External"/><Relationship Id="rIdi0pyi-namrytgrhfurjg5" Type="http://schemas.openxmlformats.org/officeDocument/2006/relationships/hyperlink" Target="https://xgboost.readthedocs.io/" TargetMode="External"/><Relationship Id="rIdphxrcgpr1pjrn5wwqvb8i" Type="http://schemas.openxmlformats.org/officeDocument/2006/relationships/hyperlink" Target="https://datatracker.ietf.org/doc/html/rfc7519" TargetMode="External"/><Relationship Id="rIdg1i3vcoupbrx64sbohxkj" Type="http://schemas.openxmlformats.org/officeDocument/2006/relationships/hyperlink" Target="https://leafletjs.com/reference.html" TargetMode="External"/><Relationship Id="rIdczwncd38i1m0jj5qgcymr" Type="http://schemas.openxmlformats.org/officeDocument/2006/relationships/hyperlink" Target="https://www.openstreetmap.org/" TargetMode="External"/><Relationship Id="rIdyxw-sdhj_-lgcoj99fiwm" Type="http://schemas.openxmlformats.org/officeDocument/2006/relationships/hyperlink" Target="https://docs.docker.com/compose/" TargetMode="External"/><Relationship Id="rId3rpmqh8zsq1o1tlfnsnvg" Type="http://schemas.openxmlformats.org/officeDocument/2006/relationships/hyperlink" Target="https://docs.anthropic.com/" TargetMode="External"/><Relationship Id="rId9" Type="http://schemas.openxmlformats.org/officeDocument/2006/relationships/image" Target="media/64e0ed68d9a0f105619695804acb40e92645d3e1.png"/><Relationship Id="rId10" Type="http://schemas.openxmlformats.org/officeDocument/2006/relationships/image" Target="media/9c5457ea76fd2761cc002eeee2f9869fa4d582bd.jpg"/><Relationship Id="rId11" Type="http://schemas.openxmlformats.org/officeDocument/2006/relationships/image" Target="media/0d83cff4cb11ba1f7a5e8a3f563c6337cf2c789a.png"/><Relationship Id="rId12" Type="http://schemas.openxmlformats.org/officeDocument/2006/relationships/image" Target="media/7cf23d1f536439add3bb55748f23929249f3a7ec.jpg"/><Relationship Id="rId13" Type="http://schemas.openxmlformats.org/officeDocument/2006/relationships/image" Target="media/f93d313f1a1519e06b09500ea6ec7897c43e6c03.png"/><Relationship Id="rId14" Type="http://schemas.openxmlformats.org/officeDocument/2006/relationships/image" Target="media/499fe7cc270778f50834769b3cb27d74a6a80285.jpg"/><Relationship Id="rId15" Type="http://schemas.openxmlformats.org/officeDocument/2006/relationships/image" Target="media/f003e2f2f80010af07dc53d66160cd1dcdf42859.jpg"/><Relationship Id="rId16" Type="http://schemas.openxmlformats.org/officeDocument/2006/relationships/image" Target="media/88261383597d5db4cdca8f292b1963f7c50d9392.jpg"/><Relationship Id="rId17" Type="http://schemas.openxmlformats.org/officeDocument/2006/relationships/image" Target="media/1d71a586c04a9d1a1fcf41030aed2d48599b7cb4.jpg"/><Relationship Id="rId18" Type="http://schemas.openxmlformats.org/officeDocument/2006/relationships/image" Target="media/638ad2ff1eb39a8cfd04e6ad29c97bebee04fbab.jpg"/><Relationship Id="rId19" Type="http://schemas.openxmlformats.org/officeDocument/2006/relationships/image" Target="media/24027023dae0efd0620b377fae9a35e37fb80c0a.jpg"/><Relationship Id="rId20" Type="http://schemas.openxmlformats.org/officeDocument/2006/relationships/image" Target="media/241850de8d702887493bfa6fbc0f6ad508b2035f.jpg"/><Relationship Id="rId21" Type="http://schemas.openxmlformats.org/officeDocument/2006/relationships/image" Target="media/094717858b85253fcc8bde5e1bf1aa50794ad42b.jpg"/><Relationship Id="rId22" Type="http://schemas.openxmlformats.org/officeDocument/2006/relationships/image" Target="media/c548531f96df9da3db226f61a4fa4c8d5acdbf88.jpg"/><Relationship Id="rId23" Type="http://schemas.openxmlformats.org/officeDocument/2006/relationships/image" Target="media/a281a0893addc64ce78137a50d730bff921b21a7.jpg"/><Relationship Id="rId24" Type="http://schemas.openxmlformats.org/officeDocument/2006/relationships/image" Target="media/fb7a2580883deeaa23aa31c89650b10057171f53.jpg"/><Relationship Id="rId25" Type="http://schemas.openxmlformats.org/officeDocument/2006/relationships/image" Target="media/a47eed6dedd5def14a0b9834e02f9ab6f52e9685.jpg"/><Relationship Id="rId26" Type="http://schemas.openxmlformats.org/officeDocument/2006/relationships/image" Target="media/ca2e85b515462e5ca25bda7ea29f4e31d397ceeb.jpg"/><Relationship Id="rId27" Type="http://schemas.openxmlformats.org/officeDocument/2006/relationships/image" Target="media/89c949018152d82350b8b9847c945d8797ec69ca.png"/><Relationship Id="rId28" Type="http://schemas.openxmlformats.org/officeDocument/2006/relationships/image" Target="media/49431bf155f3510b581f63b1873cc7fe17113a5a.png"/><Relationship Id="rId29" Type="http://schemas.openxmlformats.org/officeDocument/2006/relationships/image" Target="media/5f236855bd695bc7bdfd4e2eb8363fb608fecb90.png"/><Relationship Id="rId30" Type="http://schemas.openxmlformats.org/officeDocument/2006/relationships/image" Target="media/439e03dfc9feeae6ffb69e2b5e660672c29b52ea.jpg"/><Relationship Id="rId31" Type="http://schemas.openxmlformats.org/officeDocument/2006/relationships/image" Target="media/7122be166207915893cd46e86cbd85490e214d73.jpg"/><Relationship Id="rId32" Type="http://schemas.openxmlformats.org/officeDocument/2006/relationships/image" Target="media/15634a61d00308c0fd337d5327c9cac5ae8cd13a.jpg"/><Relationship Id="rId33" Type="http://schemas.openxmlformats.org/officeDocument/2006/relationships/image" Target="media/71364e4f5b1e28668eeb16163c34e548be0bb1f5.jp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 Report – CivilInc</dc:title>
  <dc:creator>Yuvaraj S Yali</dc:creator>
  <cp:lastModifiedBy>Un-named</cp:lastModifiedBy>
  <cp:revision>1</cp:revision>
  <dcterms:created xsi:type="dcterms:W3CDTF">2026-10-04T13:58:56.543Z</dcterms:created>
  <dcterms:modified xsi:type="dcterms:W3CDTF">2026-10-04T13:58:56.548Z</dcterms:modified>
</cp:coreProperties>
</file>

<file path=docProps/custom.xml><?xml version="1.0" encoding="utf-8"?>
<Properties xmlns="http://schemas.openxmlformats.org/officeDocument/2006/custom-properties" xmlns:vt="http://schemas.openxmlformats.org/officeDocument/2006/docPropsVTypes"/>
</file>