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0E" w:rsidRPr="008F390E" w:rsidRDefault="008F390E">
      <w:pPr>
        <w:rPr>
          <w:rFonts w:ascii="Times New Roman" w:hAnsi="Times New Roman" w:cs="Times New Roman"/>
          <w:b/>
          <w:sz w:val="32"/>
        </w:rPr>
      </w:pPr>
      <w:r w:rsidRPr="008F390E">
        <w:rPr>
          <w:rFonts w:ascii="Times New Roman" w:hAnsi="Times New Roman" w:cs="Times New Roman"/>
          <w:b/>
          <w:sz w:val="32"/>
        </w:rPr>
        <w:t>REFERENCES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390E">
        <w:rPr>
          <w:rFonts w:ascii="Times New Roman" w:hAnsi="Times New Roman" w:cs="Times New Roman"/>
          <w:sz w:val="24"/>
        </w:rPr>
        <w:t xml:space="preserve">[1] S. </w:t>
      </w:r>
      <w:proofErr w:type="spellStart"/>
      <w:r w:rsidRPr="008F390E">
        <w:rPr>
          <w:rFonts w:ascii="Times New Roman" w:hAnsi="Times New Roman" w:cs="Times New Roman"/>
          <w:sz w:val="24"/>
        </w:rPr>
        <w:t>Erevelles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, N. </w:t>
      </w:r>
      <w:proofErr w:type="spellStart"/>
      <w:r w:rsidRPr="008F390E">
        <w:rPr>
          <w:rFonts w:ascii="Times New Roman" w:hAnsi="Times New Roman" w:cs="Times New Roman"/>
          <w:sz w:val="24"/>
        </w:rPr>
        <w:t>Fukawa</w:t>
      </w:r>
      <w:proofErr w:type="spellEnd"/>
      <w:r w:rsidRPr="008F390E">
        <w:rPr>
          <w:rFonts w:ascii="Times New Roman" w:hAnsi="Times New Roman" w:cs="Times New Roman"/>
          <w:sz w:val="24"/>
        </w:rPr>
        <w:t>, and L. Swayne, “Big data consumer analytics and the transformation of marketing,” Journal of Business Research, vol. 69, no. 2, pp. 897–904, 2016.</w:t>
      </w:r>
      <w:proofErr w:type="gramEnd"/>
      <w:r w:rsidRPr="008F390E">
        <w:rPr>
          <w:rFonts w:ascii="Times New Roman" w:hAnsi="Times New Roman" w:cs="Times New Roman"/>
          <w:sz w:val="24"/>
        </w:rPr>
        <w:t xml:space="preserve"> 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[2] P. </w:t>
      </w:r>
      <w:proofErr w:type="spellStart"/>
      <w:r w:rsidRPr="008F390E">
        <w:rPr>
          <w:rFonts w:ascii="Times New Roman" w:hAnsi="Times New Roman" w:cs="Times New Roman"/>
          <w:sz w:val="24"/>
        </w:rPr>
        <w:t>Russom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 et al., “Big data analytics,” TDWI best practices report, fourth quarter, pp. 1–35, 2011. 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F390E">
        <w:rPr>
          <w:rFonts w:ascii="Times New Roman" w:hAnsi="Times New Roman" w:cs="Times New Roman"/>
          <w:sz w:val="24"/>
        </w:rPr>
        <w:t xml:space="preserve">[3] S. </w:t>
      </w:r>
      <w:proofErr w:type="spellStart"/>
      <w:r w:rsidRPr="008F390E">
        <w:rPr>
          <w:rFonts w:ascii="Times New Roman" w:hAnsi="Times New Roman" w:cs="Times New Roman"/>
          <w:sz w:val="24"/>
        </w:rPr>
        <w:t>Erevelles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, N. </w:t>
      </w:r>
      <w:proofErr w:type="spellStart"/>
      <w:r w:rsidRPr="008F390E">
        <w:rPr>
          <w:rFonts w:ascii="Times New Roman" w:hAnsi="Times New Roman" w:cs="Times New Roman"/>
          <w:sz w:val="24"/>
        </w:rPr>
        <w:t>Fukawa</w:t>
      </w:r>
      <w:proofErr w:type="spellEnd"/>
      <w:r w:rsidRPr="008F390E">
        <w:rPr>
          <w:rFonts w:ascii="Times New Roman" w:hAnsi="Times New Roman" w:cs="Times New Roman"/>
          <w:sz w:val="24"/>
        </w:rPr>
        <w:t>, and L. Swayne, “Big data consumer analytics and the transformation of marketing,” Journal of Business Research, vol. 69, no. 2, pp. 897–904, 2016.</w:t>
      </w:r>
      <w:proofErr w:type="gramEnd"/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 [4] V. </w:t>
      </w:r>
      <w:proofErr w:type="spellStart"/>
      <w:r w:rsidRPr="008F390E">
        <w:rPr>
          <w:rFonts w:ascii="Times New Roman" w:hAnsi="Times New Roman" w:cs="Times New Roman"/>
          <w:sz w:val="24"/>
        </w:rPr>
        <w:t>Hatzivassiloglou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 and K. R. </w:t>
      </w:r>
      <w:proofErr w:type="spellStart"/>
      <w:r w:rsidRPr="008F390E">
        <w:rPr>
          <w:rFonts w:ascii="Times New Roman" w:hAnsi="Times New Roman" w:cs="Times New Roman"/>
          <w:sz w:val="24"/>
        </w:rPr>
        <w:t>McKeown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, “Predicting the semantic orientation of adjectives,” in Proceedings of the eighth conference on European chapter of the Association for Computational Linguistics. Association for Computational Linguistics, 1997, pp. 174–181. 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[5] T. Wilson, J. </w:t>
      </w:r>
      <w:proofErr w:type="spellStart"/>
      <w:r w:rsidRPr="008F390E">
        <w:rPr>
          <w:rFonts w:ascii="Times New Roman" w:hAnsi="Times New Roman" w:cs="Times New Roman"/>
          <w:sz w:val="24"/>
        </w:rPr>
        <w:t>Wiebe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, and P. Hoffmann, “Recognizing contextual polarity in phrase-level sentiment analysis,” in Proceedings of the conference on human language technology and empirical methods in natural language processing. Association for Computational Linguistics, 2005, pp. 347–354. 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[6] B. Pang and L. Lee, “A sentimental education: Sentiment analysis using subjectivity summarization based on minimum cuts,” in Proceedings of the 42nd annual meeting on Association for Computational Linguistics. Association for Computational Linguistics, 2004, p. 271. 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[7] A. Pak and P. </w:t>
      </w:r>
      <w:proofErr w:type="spellStart"/>
      <w:r w:rsidRPr="008F390E">
        <w:rPr>
          <w:rFonts w:ascii="Times New Roman" w:hAnsi="Times New Roman" w:cs="Times New Roman"/>
          <w:sz w:val="24"/>
        </w:rPr>
        <w:t>Paroubek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, “Twitter as a corpus for sentiment analysis and opinion mining.” in </w:t>
      </w:r>
      <w:proofErr w:type="spellStart"/>
      <w:r w:rsidRPr="008F390E">
        <w:rPr>
          <w:rFonts w:ascii="Times New Roman" w:hAnsi="Times New Roman" w:cs="Times New Roman"/>
          <w:sz w:val="24"/>
        </w:rPr>
        <w:t>LREc</w:t>
      </w:r>
      <w:proofErr w:type="spellEnd"/>
      <w:r w:rsidRPr="008F390E">
        <w:rPr>
          <w:rFonts w:ascii="Times New Roman" w:hAnsi="Times New Roman" w:cs="Times New Roman"/>
          <w:sz w:val="24"/>
        </w:rPr>
        <w:t>, vol. 10, no. 2010, 2010.</w:t>
      </w:r>
    </w:p>
    <w:p w:rsidR="00000000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390E">
        <w:rPr>
          <w:rFonts w:ascii="Times New Roman" w:hAnsi="Times New Roman" w:cs="Times New Roman"/>
          <w:sz w:val="24"/>
        </w:rPr>
        <w:t xml:space="preserve">[8] M. WAHYUDI and D. A. KRISTIYANTI, “Sentiment analysis of </w:t>
      </w:r>
      <w:proofErr w:type="spellStart"/>
      <w:r w:rsidRPr="008F390E">
        <w:rPr>
          <w:rFonts w:ascii="Times New Roman" w:hAnsi="Times New Roman" w:cs="Times New Roman"/>
          <w:sz w:val="24"/>
        </w:rPr>
        <w:t>smartphone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 product review using support vector machine algorithm-based particle swarm optimization.”</w:t>
      </w:r>
      <w:proofErr w:type="gramEnd"/>
      <w:r w:rsidRPr="008F390E">
        <w:rPr>
          <w:rFonts w:ascii="Times New Roman" w:hAnsi="Times New Roman" w:cs="Times New Roman"/>
          <w:sz w:val="24"/>
        </w:rPr>
        <w:t xml:space="preserve"> Journal of Theoretical &amp; Applied Information Technology, vol. 91, no. 1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r w:rsidRPr="008F390E">
        <w:rPr>
          <w:rFonts w:ascii="Times New Roman" w:hAnsi="Times New Roman" w:cs="Times New Roman"/>
          <w:sz w:val="24"/>
        </w:rPr>
        <w:t xml:space="preserve">[9] D. N. Devi, C. K. Kumar, and S. Prasad, “A feature based approach for sentiment analysis by using support vector machine,” in Advanced Computing (IACC), 2016 IEEE 6th </w:t>
      </w:r>
      <w:proofErr w:type="spellStart"/>
      <w:r w:rsidRPr="008F390E">
        <w:rPr>
          <w:rFonts w:ascii="Times New Roman" w:hAnsi="Times New Roman" w:cs="Times New Roman"/>
          <w:sz w:val="24"/>
        </w:rPr>
        <w:t>Interna-tional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 Conference on. IEEE, 2016, pp. 3–8. </w:t>
      </w:r>
    </w:p>
    <w:p w:rsidR="008F390E" w:rsidRPr="008F390E" w:rsidRDefault="008F390E" w:rsidP="008F390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F390E">
        <w:rPr>
          <w:rFonts w:ascii="Times New Roman" w:hAnsi="Times New Roman" w:cs="Times New Roman"/>
          <w:sz w:val="24"/>
        </w:rPr>
        <w:t xml:space="preserve">[10] V. Narayanan, I. </w:t>
      </w:r>
      <w:proofErr w:type="spellStart"/>
      <w:r w:rsidRPr="008F390E">
        <w:rPr>
          <w:rFonts w:ascii="Times New Roman" w:hAnsi="Times New Roman" w:cs="Times New Roman"/>
          <w:sz w:val="24"/>
        </w:rPr>
        <w:t>Arora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, and A. Bhatia, “Fast and accurate sentiment classification using an enhanced naive </w:t>
      </w:r>
      <w:proofErr w:type="spellStart"/>
      <w:r w:rsidRPr="008F390E">
        <w:rPr>
          <w:rFonts w:ascii="Times New Roman" w:hAnsi="Times New Roman" w:cs="Times New Roman"/>
          <w:sz w:val="24"/>
        </w:rPr>
        <w:t>bayes</w:t>
      </w:r>
      <w:proofErr w:type="spellEnd"/>
      <w:r w:rsidRPr="008F390E">
        <w:rPr>
          <w:rFonts w:ascii="Times New Roman" w:hAnsi="Times New Roman" w:cs="Times New Roman"/>
          <w:sz w:val="24"/>
        </w:rPr>
        <w:t xml:space="preserve"> model,” in International Conference on Intelligent Data Engineering and Automated Learning.</w:t>
      </w:r>
      <w:proofErr w:type="gramEnd"/>
      <w:r w:rsidRPr="008F390E">
        <w:rPr>
          <w:rFonts w:ascii="Times New Roman" w:hAnsi="Times New Roman" w:cs="Times New Roman"/>
          <w:sz w:val="24"/>
        </w:rPr>
        <w:t xml:space="preserve"> Springer, 2013, pp. 194–201.</w:t>
      </w:r>
    </w:p>
    <w:sectPr w:rsidR="008F390E" w:rsidRPr="008F3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90E"/>
    <w:rsid w:val="008F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2021-11-25T06:20:00Z</dcterms:created>
  <dcterms:modified xsi:type="dcterms:W3CDTF">2021-11-25T06:21:00Z</dcterms:modified>
</cp:coreProperties>
</file>