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8C49" w14:textId="77777777" w:rsidR="002D7F6C" w:rsidRDefault="00000000">
      <w:pPr>
        <w:spacing w:before="200" w:after="280"/>
        <w:jc w:val="center"/>
      </w:pPr>
      <w:r>
        <w:rPr>
          <w:noProof/>
        </w:rPr>
        <w:drawing>
          <wp:inline distT="0" distB="0" distL="0" distR="0" wp14:anchorId="47D7A063" wp14:editId="3630E17D">
            <wp:extent cx="3474720" cy="1607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8"/>
                    <a:stretch>
                      <a:fillRect/>
                    </a:stretch>
                  </pic:blipFill>
                  <pic:spPr>
                    <a:xfrm>
                      <a:off x="0" y="0"/>
                      <a:ext cx="3474720" cy="1607127"/>
                    </a:xfrm>
                    <a:prstGeom prst="rect">
                      <a:avLst/>
                    </a:prstGeom>
                  </pic:spPr>
                </pic:pic>
              </a:graphicData>
            </a:graphic>
          </wp:inline>
        </w:drawing>
      </w:r>
    </w:p>
    <w:p w14:paraId="7D46B9C3" w14:textId="77777777" w:rsidR="002D7F6C" w:rsidRDefault="00000000">
      <w:pPr>
        <w:spacing w:after="120"/>
        <w:jc w:val="center"/>
      </w:pPr>
      <w:r>
        <w:rPr>
          <w:rFonts w:ascii="Segoe UI" w:hAnsi="Segoe UI"/>
          <w:b/>
          <w:color w:val="0284C7"/>
          <w:sz w:val="28"/>
        </w:rPr>
        <w:t>LAB PROJECT ON APPLIED MACHINE LEARNING</w:t>
      </w:r>
    </w:p>
    <w:p w14:paraId="1D51679A" w14:textId="77777777" w:rsidR="002D7F6C" w:rsidRDefault="00000000">
      <w:pPr>
        <w:spacing w:after="120"/>
        <w:jc w:val="center"/>
      </w:pPr>
      <w:r>
        <w:rPr>
          <w:rFonts w:ascii="Segoe UI" w:hAnsi="Segoe UI"/>
          <w:b/>
          <w:color w:val="0F172A"/>
          <w:sz w:val="36"/>
        </w:rPr>
        <w:t>TheraLens: Disease Pattern Recognition and Treatment Development Forecasting</w:t>
      </w:r>
    </w:p>
    <w:p w14:paraId="570038DD" w14:textId="77777777" w:rsidR="002D7F6C" w:rsidRDefault="00000000">
      <w:pPr>
        <w:spacing w:after="80"/>
        <w:jc w:val="center"/>
      </w:pPr>
      <w:r>
        <w:rPr>
          <w:rFonts w:ascii="Segoe UI" w:hAnsi="Segoe UI"/>
          <w:b/>
          <w:color w:val="64748B"/>
          <w:sz w:val="25"/>
        </w:rPr>
        <w:t>College Review-2 Evaluation Report</w:t>
      </w:r>
    </w:p>
    <w:p w14:paraId="3E925FC9" w14:textId="77777777" w:rsidR="002D7F6C" w:rsidRDefault="00000000">
      <w:pPr>
        <w:spacing w:after="400"/>
        <w:jc w:val="center"/>
      </w:pPr>
      <w:r>
        <w:rPr>
          <w:rFonts w:ascii="Segoe UI" w:hAnsi="Segoe UI"/>
          <w:b/>
          <w:color w:val="1E293B"/>
          <w:sz w:val="19"/>
        </w:rPr>
        <w:t>Academic Year: 2026–2027  |  Assessment: Review-2 (82.5% Implementation Level)</w:t>
      </w:r>
    </w:p>
    <w:p w14:paraId="10717245" w14:textId="77777777" w:rsidR="002D7F6C" w:rsidRDefault="00000000">
      <w:pPr>
        <w:spacing w:after="160"/>
        <w:jc w:val="center"/>
      </w:pPr>
      <w:r>
        <w:rPr>
          <w:rFonts w:ascii="Segoe UI" w:hAnsi="Segoe UI"/>
          <w:b/>
          <w:color w:val="0F172A"/>
          <w:sz w:val="21"/>
        </w:rPr>
        <w:t>Project Team Members &amp; Supervision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37"/>
        <w:gridCol w:w="2437"/>
        <w:gridCol w:w="2437"/>
        <w:gridCol w:w="2437"/>
      </w:tblGrid>
      <w:tr w:rsidR="002D7F6C" w14:paraId="340E258B" w14:textId="77777777">
        <w:trPr>
          <w:jc w:val="center"/>
        </w:trPr>
        <w:tc>
          <w:tcPr>
            <w:tcW w:w="2437" w:type="dxa"/>
            <w:shd w:val="clear" w:color="auto" w:fill="F1F5F9"/>
            <w:tcMar>
              <w:top w:w="90" w:type="dxa"/>
              <w:left w:w="110" w:type="dxa"/>
              <w:bottom w:w="90" w:type="dxa"/>
              <w:right w:w="110" w:type="dxa"/>
            </w:tcMar>
          </w:tcPr>
          <w:p w14:paraId="6B398925" w14:textId="77777777" w:rsidR="002D7F6C" w:rsidRDefault="00000000">
            <w:pPr>
              <w:spacing w:after="0"/>
              <w:jc w:val="center"/>
            </w:pPr>
            <w:r>
              <w:rPr>
                <w:rFonts w:ascii="Segoe UI" w:hAnsi="Segoe UI"/>
                <w:b/>
                <w:color w:val="0F172A"/>
                <w:sz w:val="17"/>
              </w:rPr>
              <w:t>Role</w:t>
            </w:r>
          </w:p>
        </w:tc>
        <w:tc>
          <w:tcPr>
            <w:tcW w:w="2437" w:type="dxa"/>
            <w:shd w:val="clear" w:color="auto" w:fill="F1F5F9"/>
            <w:tcMar>
              <w:top w:w="90" w:type="dxa"/>
              <w:left w:w="110" w:type="dxa"/>
              <w:bottom w:w="90" w:type="dxa"/>
              <w:right w:w="110" w:type="dxa"/>
            </w:tcMar>
          </w:tcPr>
          <w:p w14:paraId="194F469B" w14:textId="77777777" w:rsidR="002D7F6C" w:rsidRDefault="00000000">
            <w:pPr>
              <w:spacing w:after="0"/>
            </w:pPr>
            <w:r>
              <w:rPr>
                <w:rFonts w:ascii="Segoe UI" w:hAnsi="Segoe UI"/>
                <w:b/>
                <w:color w:val="0F172A"/>
                <w:sz w:val="17"/>
              </w:rPr>
              <w:t>Name</w:t>
            </w:r>
          </w:p>
        </w:tc>
        <w:tc>
          <w:tcPr>
            <w:tcW w:w="2437" w:type="dxa"/>
            <w:shd w:val="clear" w:color="auto" w:fill="F1F5F9"/>
            <w:tcMar>
              <w:top w:w="90" w:type="dxa"/>
              <w:left w:w="110" w:type="dxa"/>
              <w:bottom w:w="90" w:type="dxa"/>
              <w:right w:w="110" w:type="dxa"/>
            </w:tcMar>
          </w:tcPr>
          <w:p w14:paraId="11546D05" w14:textId="77777777" w:rsidR="002D7F6C" w:rsidRDefault="00000000">
            <w:pPr>
              <w:spacing w:after="0"/>
              <w:jc w:val="center"/>
            </w:pPr>
            <w:r>
              <w:rPr>
                <w:rFonts w:ascii="Segoe UI" w:hAnsi="Segoe UI"/>
                <w:b/>
                <w:color w:val="0F172A"/>
                <w:sz w:val="17"/>
              </w:rPr>
              <w:t>Registration Number</w:t>
            </w:r>
          </w:p>
        </w:tc>
        <w:tc>
          <w:tcPr>
            <w:tcW w:w="2437" w:type="dxa"/>
            <w:shd w:val="clear" w:color="auto" w:fill="F1F5F9"/>
            <w:tcMar>
              <w:top w:w="90" w:type="dxa"/>
              <w:left w:w="110" w:type="dxa"/>
              <w:bottom w:w="90" w:type="dxa"/>
              <w:right w:w="110" w:type="dxa"/>
            </w:tcMar>
          </w:tcPr>
          <w:p w14:paraId="6EE721F2" w14:textId="77777777" w:rsidR="002D7F6C" w:rsidRDefault="00000000">
            <w:pPr>
              <w:spacing w:after="0"/>
            </w:pPr>
            <w:r>
              <w:rPr>
                <w:rFonts w:ascii="Segoe UI" w:hAnsi="Segoe UI"/>
                <w:b/>
                <w:color w:val="0F172A"/>
                <w:sz w:val="17"/>
              </w:rPr>
              <w:t>Department / School</w:t>
            </w:r>
          </w:p>
        </w:tc>
      </w:tr>
      <w:tr w:rsidR="002D7F6C" w14:paraId="5A64EF93" w14:textId="77777777">
        <w:trPr>
          <w:jc w:val="center"/>
        </w:trPr>
        <w:tc>
          <w:tcPr>
            <w:tcW w:w="2437" w:type="dxa"/>
            <w:tcMar>
              <w:top w:w="90" w:type="dxa"/>
              <w:left w:w="110" w:type="dxa"/>
              <w:bottom w:w="90" w:type="dxa"/>
              <w:right w:w="110" w:type="dxa"/>
            </w:tcMar>
          </w:tcPr>
          <w:p w14:paraId="1DC31D3D" w14:textId="77777777" w:rsidR="002D7F6C" w:rsidRDefault="00000000">
            <w:pPr>
              <w:spacing w:after="0"/>
            </w:pPr>
            <w:r>
              <w:rPr>
                <w:rFonts w:ascii="Segoe UI" w:hAnsi="Segoe UI"/>
                <w:b/>
                <w:color w:val="1E293B"/>
                <w:sz w:val="16"/>
              </w:rPr>
              <w:t>Team Member 1</w:t>
            </w:r>
          </w:p>
        </w:tc>
        <w:tc>
          <w:tcPr>
            <w:tcW w:w="2437" w:type="dxa"/>
            <w:tcMar>
              <w:top w:w="90" w:type="dxa"/>
              <w:left w:w="110" w:type="dxa"/>
              <w:bottom w:w="90" w:type="dxa"/>
              <w:right w:w="110" w:type="dxa"/>
            </w:tcMar>
          </w:tcPr>
          <w:p w14:paraId="61457B89" w14:textId="77777777" w:rsidR="002D7F6C" w:rsidRDefault="00000000">
            <w:pPr>
              <w:spacing w:after="0"/>
            </w:pPr>
            <w:r>
              <w:rPr>
                <w:rFonts w:ascii="Segoe UI" w:hAnsi="Segoe UI"/>
                <w:b/>
                <w:color w:val="1E293B"/>
                <w:sz w:val="16"/>
              </w:rPr>
              <w:t>S. Yuvaresh</w:t>
            </w:r>
          </w:p>
        </w:tc>
        <w:tc>
          <w:tcPr>
            <w:tcW w:w="2437" w:type="dxa"/>
            <w:tcMar>
              <w:top w:w="90" w:type="dxa"/>
              <w:left w:w="110" w:type="dxa"/>
              <w:bottom w:w="90" w:type="dxa"/>
              <w:right w:w="110" w:type="dxa"/>
            </w:tcMar>
          </w:tcPr>
          <w:p w14:paraId="41A11075" w14:textId="77777777" w:rsidR="002D7F6C" w:rsidRDefault="00000000">
            <w:pPr>
              <w:spacing w:after="0"/>
              <w:jc w:val="center"/>
            </w:pPr>
            <w:r>
              <w:rPr>
                <w:rFonts w:ascii="Segoe UI" w:hAnsi="Segoe UI"/>
                <w:color w:val="1E293B"/>
                <w:sz w:val="16"/>
              </w:rPr>
              <w:t>24BCS0195</w:t>
            </w:r>
          </w:p>
        </w:tc>
        <w:tc>
          <w:tcPr>
            <w:tcW w:w="2437" w:type="dxa"/>
            <w:tcMar>
              <w:top w:w="90" w:type="dxa"/>
              <w:left w:w="110" w:type="dxa"/>
              <w:bottom w:w="90" w:type="dxa"/>
              <w:right w:w="110" w:type="dxa"/>
            </w:tcMar>
          </w:tcPr>
          <w:p w14:paraId="5B01429A" w14:textId="77777777" w:rsidR="002D7F6C" w:rsidRDefault="00000000">
            <w:pPr>
              <w:spacing w:after="0"/>
            </w:pPr>
            <w:r>
              <w:rPr>
                <w:rFonts w:ascii="Segoe UI" w:hAnsi="Segoe UI"/>
                <w:color w:val="1E293B"/>
                <w:sz w:val="16"/>
              </w:rPr>
              <w:t>School of Computer Science and Engineering</w:t>
            </w:r>
          </w:p>
        </w:tc>
      </w:tr>
      <w:tr w:rsidR="002D7F6C" w14:paraId="12709E1F" w14:textId="77777777">
        <w:trPr>
          <w:jc w:val="center"/>
        </w:trPr>
        <w:tc>
          <w:tcPr>
            <w:tcW w:w="2437" w:type="dxa"/>
            <w:shd w:val="clear" w:color="auto" w:fill="F8FAFC"/>
            <w:tcMar>
              <w:top w:w="90" w:type="dxa"/>
              <w:left w:w="110" w:type="dxa"/>
              <w:bottom w:w="90" w:type="dxa"/>
              <w:right w:w="110" w:type="dxa"/>
            </w:tcMar>
          </w:tcPr>
          <w:p w14:paraId="6D47CE3D" w14:textId="77777777" w:rsidR="002D7F6C" w:rsidRDefault="00000000">
            <w:pPr>
              <w:spacing w:after="0"/>
            </w:pPr>
            <w:r>
              <w:rPr>
                <w:rFonts w:ascii="Segoe UI" w:hAnsi="Segoe UI"/>
                <w:b/>
                <w:color w:val="1E293B"/>
                <w:sz w:val="16"/>
              </w:rPr>
              <w:t>Team Member 2</w:t>
            </w:r>
          </w:p>
        </w:tc>
        <w:tc>
          <w:tcPr>
            <w:tcW w:w="2437" w:type="dxa"/>
            <w:shd w:val="clear" w:color="auto" w:fill="F8FAFC"/>
            <w:tcMar>
              <w:top w:w="90" w:type="dxa"/>
              <w:left w:w="110" w:type="dxa"/>
              <w:bottom w:w="90" w:type="dxa"/>
              <w:right w:w="110" w:type="dxa"/>
            </w:tcMar>
          </w:tcPr>
          <w:p w14:paraId="76BFF351" w14:textId="77777777" w:rsidR="002D7F6C" w:rsidRDefault="00000000">
            <w:pPr>
              <w:spacing w:after="0"/>
            </w:pPr>
            <w:r>
              <w:rPr>
                <w:rFonts w:ascii="Segoe UI" w:hAnsi="Segoe UI"/>
                <w:b/>
                <w:color w:val="1E293B"/>
                <w:sz w:val="16"/>
              </w:rPr>
              <w:t>M. Gopika</w:t>
            </w:r>
          </w:p>
        </w:tc>
        <w:tc>
          <w:tcPr>
            <w:tcW w:w="2437" w:type="dxa"/>
            <w:shd w:val="clear" w:color="auto" w:fill="F8FAFC"/>
            <w:tcMar>
              <w:top w:w="90" w:type="dxa"/>
              <w:left w:w="110" w:type="dxa"/>
              <w:bottom w:w="90" w:type="dxa"/>
              <w:right w:w="110" w:type="dxa"/>
            </w:tcMar>
          </w:tcPr>
          <w:p w14:paraId="3CE65FB0" w14:textId="77777777" w:rsidR="002D7F6C" w:rsidRDefault="00000000">
            <w:pPr>
              <w:spacing w:after="0"/>
              <w:jc w:val="center"/>
            </w:pPr>
            <w:r>
              <w:rPr>
                <w:rFonts w:ascii="Segoe UI" w:hAnsi="Segoe UI"/>
                <w:color w:val="1E293B"/>
                <w:sz w:val="16"/>
              </w:rPr>
              <w:t>24BCA0243</w:t>
            </w:r>
          </w:p>
        </w:tc>
        <w:tc>
          <w:tcPr>
            <w:tcW w:w="2437" w:type="dxa"/>
            <w:shd w:val="clear" w:color="auto" w:fill="F8FAFC"/>
            <w:tcMar>
              <w:top w:w="90" w:type="dxa"/>
              <w:left w:w="110" w:type="dxa"/>
              <w:bottom w:w="90" w:type="dxa"/>
              <w:right w:w="110" w:type="dxa"/>
            </w:tcMar>
          </w:tcPr>
          <w:p w14:paraId="6CF1C71D" w14:textId="77777777" w:rsidR="002D7F6C" w:rsidRDefault="00000000">
            <w:pPr>
              <w:spacing w:after="0"/>
            </w:pPr>
            <w:r>
              <w:rPr>
                <w:rFonts w:ascii="Segoe UI" w:hAnsi="Segoe UI"/>
                <w:color w:val="1E293B"/>
                <w:sz w:val="16"/>
              </w:rPr>
              <w:t>School of Computer Science and Engineering</w:t>
            </w:r>
          </w:p>
        </w:tc>
      </w:tr>
      <w:tr w:rsidR="002D7F6C" w14:paraId="3962BCFF" w14:textId="77777777">
        <w:trPr>
          <w:jc w:val="center"/>
        </w:trPr>
        <w:tc>
          <w:tcPr>
            <w:tcW w:w="2437" w:type="dxa"/>
            <w:tcMar>
              <w:top w:w="90" w:type="dxa"/>
              <w:left w:w="110" w:type="dxa"/>
              <w:bottom w:w="90" w:type="dxa"/>
              <w:right w:w="110" w:type="dxa"/>
            </w:tcMar>
          </w:tcPr>
          <w:p w14:paraId="056EC509" w14:textId="77777777" w:rsidR="002D7F6C" w:rsidRDefault="00000000">
            <w:pPr>
              <w:spacing w:after="0"/>
            </w:pPr>
            <w:r>
              <w:rPr>
                <w:rFonts w:ascii="Segoe UI" w:hAnsi="Segoe UI"/>
                <w:b/>
                <w:color w:val="1E293B"/>
                <w:sz w:val="16"/>
              </w:rPr>
              <w:t>Course Faculty / Guide</w:t>
            </w:r>
          </w:p>
        </w:tc>
        <w:tc>
          <w:tcPr>
            <w:tcW w:w="2437" w:type="dxa"/>
            <w:tcMar>
              <w:top w:w="90" w:type="dxa"/>
              <w:left w:w="110" w:type="dxa"/>
              <w:bottom w:w="90" w:type="dxa"/>
              <w:right w:w="110" w:type="dxa"/>
            </w:tcMar>
          </w:tcPr>
          <w:p w14:paraId="05899F79" w14:textId="77777777" w:rsidR="002D7F6C" w:rsidRDefault="00000000">
            <w:pPr>
              <w:spacing w:after="0"/>
            </w:pPr>
            <w:r>
              <w:rPr>
                <w:rFonts w:ascii="Segoe UI" w:hAnsi="Segoe UI"/>
                <w:b/>
                <w:color w:val="1E293B"/>
                <w:sz w:val="16"/>
              </w:rPr>
              <w:t>Dr. M. Parimala, Professor</w:t>
            </w:r>
          </w:p>
        </w:tc>
        <w:tc>
          <w:tcPr>
            <w:tcW w:w="2437" w:type="dxa"/>
            <w:tcMar>
              <w:top w:w="90" w:type="dxa"/>
              <w:left w:w="110" w:type="dxa"/>
              <w:bottom w:w="90" w:type="dxa"/>
              <w:right w:w="110" w:type="dxa"/>
            </w:tcMar>
          </w:tcPr>
          <w:p w14:paraId="0BB79716" w14:textId="77777777" w:rsidR="002D7F6C" w:rsidRDefault="00000000">
            <w:pPr>
              <w:spacing w:after="0"/>
              <w:jc w:val="center"/>
            </w:pPr>
            <w:r>
              <w:rPr>
                <w:rFonts w:ascii="Segoe UI" w:hAnsi="Segoe UI"/>
                <w:color w:val="1E293B"/>
                <w:sz w:val="16"/>
              </w:rPr>
              <w:t>Faculty Supervisor</w:t>
            </w:r>
          </w:p>
        </w:tc>
        <w:tc>
          <w:tcPr>
            <w:tcW w:w="2437" w:type="dxa"/>
            <w:tcMar>
              <w:top w:w="90" w:type="dxa"/>
              <w:left w:w="110" w:type="dxa"/>
              <w:bottom w:w="90" w:type="dxa"/>
              <w:right w:w="110" w:type="dxa"/>
            </w:tcMar>
          </w:tcPr>
          <w:p w14:paraId="1D2BEE54" w14:textId="77777777" w:rsidR="002D7F6C" w:rsidRDefault="00000000">
            <w:pPr>
              <w:spacing w:after="0"/>
            </w:pPr>
            <w:r>
              <w:rPr>
                <w:rFonts w:ascii="Segoe UI" w:hAnsi="Segoe UI"/>
                <w:color w:val="1E293B"/>
                <w:sz w:val="16"/>
              </w:rPr>
              <w:t>Department of Computer Science and Engineering</w:t>
            </w:r>
          </w:p>
        </w:tc>
      </w:tr>
      <w:tr w:rsidR="002D7F6C" w14:paraId="2F6FC6E6" w14:textId="77777777">
        <w:trPr>
          <w:jc w:val="center"/>
        </w:trPr>
        <w:tc>
          <w:tcPr>
            <w:tcW w:w="2437" w:type="dxa"/>
            <w:shd w:val="clear" w:color="auto" w:fill="F8FAFC"/>
            <w:tcMar>
              <w:top w:w="90" w:type="dxa"/>
              <w:left w:w="110" w:type="dxa"/>
              <w:bottom w:w="90" w:type="dxa"/>
              <w:right w:w="110" w:type="dxa"/>
            </w:tcMar>
          </w:tcPr>
          <w:p w14:paraId="1BF94A1F" w14:textId="77777777" w:rsidR="002D7F6C" w:rsidRDefault="00000000">
            <w:pPr>
              <w:spacing w:after="0"/>
            </w:pPr>
            <w:r>
              <w:rPr>
                <w:rFonts w:ascii="Segoe UI" w:hAnsi="Segoe UI"/>
                <w:b/>
                <w:color w:val="1E293B"/>
                <w:sz w:val="16"/>
              </w:rPr>
              <w:t>Institution</w:t>
            </w:r>
          </w:p>
        </w:tc>
        <w:tc>
          <w:tcPr>
            <w:tcW w:w="2437" w:type="dxa"/>
            <w:shd w:val="clear" w:color="auto" w:fill="F8FAFC"/>
            <w:tcMar>
              <w:top w:w="90" w:type="dxa"/>
              <w:left w:w="110" w:type="dxa"/>
              <w:bottom w:w="90" w:type="dxa"/>
              <w:right w:w="110" w:type="dxa"/>
            </w:tcMar>
          </w:tcPr>
          <w:p w14:paraId="459D45AD" w14:textId="77777777" w:rsidR="002D7F6C" w:rsidRDefault="00000000">
            <w:pPr>
              <w:spacing w:after="0"/>
            </w:pPr>
            <w:r>
              <w:rPr>
                <w:rFonts w:ascii="Segoe UI" w:hAnsi="Segoe UI"/>
                <w:color w:val="1E293B"/>
                <w:sz w:val="16"/>
              </w:rPr>
              <w:t>Vellore Institute of Technology (VIT)</w:t>
            </w:r>
          </w:p>
        </w:tc>
        <w:tc>
          <w:tcPr>
            <w:tcW w:w="2437" w:type="dxa"/>
            <w:shd w:val="clear" w:color="auto" w:fill="F8FAFC"/>
            <w:tcMar>
              <w:top w:w="90" w:type="dxa"/>
              <w:left w:w="110" w:type="dxa"/>
              <w:bottom w:w="90" w:type="dxa"/>
              <w:right w:w="110" w:type="dxa"/>
            </w:tcMar>
          </w:tcPr>
          <w:p w14:paraId="3D86E373" w14:textId="77777777" w:rsidR="002D7F6C" w:rsidRDefault="00000000">
            <w:pPr>
              <w:spacing w:after="0"/>
              <w:jc w:val="center"/>
            </w:pPr>
            <w:r>
              <w:rPr>
                <w:rFonts w:ascii="Segoe UI" w:hAnsi="Segoe UI"/>
                <w:color w:val="1E293B"/>
                <w:sz w:val="16"/>
              </w:rPr>
              <w:t>Deemed University</w:t>
            </w:r>
          </w:p>
        </w:tc>
        <w:tc>
          <w:tcPr>
            <w:tcW w:w="2437" w:type="dxa"/>
            <w:shd w:val="clear" w:color="auto" w:fill="F8FAFC"/>
            <w:tcMar>
              <w:top w:w="90" w:type="dxa"/>
              <w:left w:w="110" w:type="dxa"/>
              <w:bottom w:w="90" w:type="dxa"/>
              <w:right w:w="110" w:type="dxa"/>
            </w:tcMar>
          </w:tcPr>
          <w:p w14:paraId="7AD0984D" w14:textId="77777777" w:rsidR="002D7F6C" w:rsidRDefault="00000000">
            <w:pPr>
              <w:spacing w:after="0"/>
            </w:pPr>
            <w:r>
              <w:rPr>
                <w:rFonts w:ascii="Segoe UI" w:hAnsi="Segoe UI"/>
                <w:color w:val="1E293B"/>
                <w:sz w:val="16"/>
              </w:rPr>
              <w:t>Vellore Campus</w:t>
            </w:r>
          </w:p>
        </w:tc>
      </w:tr>
    </w:tbl>
    <w:p w14:paraId="6E2E2205" w14:textId="77777777" w:rsidR="002D7F6C" w:rsidRDefault="00000000">
      <w:r>
        <w:br w:type="page"/>
      </w:r>
    </w:p>
    <w:p w14:paraId="7ADC0A0E" w14:textId="77777777" w:rsidR="002D7F6C" w:rsidRDefault="00000000">
      <w:pPr>
        <w:keepNext/>
        <w:spacing w:before="260" w:after="80"/>
      </w:pPr>
      <w:r>
        <w:rPr>
          <w:rFonts w:ascii="Segoe UI" w:hAnsi="Segoe UI"/>
          <w:b/>
          <w:color w:val="0F172A"/>
          <w:sz w:val="24"/>
        </w:rPr>
        <w:lastRenderedPageBreak/>
        <w:t>Table of Contents</w:t>
      </w:r>
    </w:p>
    <w:p w14:paraId="667ABF2F" w14:textId="77777777" w:rsidR="002D7F6C" w:rsidRDefault="00000000">
      <w:pPr>
        <w:pStyle w:val="ListBullet"/>
        <w:spacing w:before="20" w:after="40"/>
      </w:pPr>
      <w:r>
        <w:rPr>
          <w:rFonts w:ascii="Segoe UI" w:hAnsi="Segoe UI"/>
          <w:color w:val="1E293B"/>
          <w:sz w:val="18"/>
        </w:rPr>
        <w:t>[1. Executive Abstract](#1-executive-abstract)</w:t>
      </w:r>
    </w:p>
    <w:p w14:paraId="0E0550E8" w14:textId="77777777" w:rsidR="002D7F6C" w:rsidRDefault="00000000">
      <w:pPr>
        <w:pStyle w:val="ListBullet"/>
        <w:spacing w:before="20" w:after="40"/>
      </w:pPr>
      <w:r>
        <w:rPr>
          <w:rFonts w:ascii="Segoe UI" w:hAnsi="Segoe UI"/>
          <w:color w:val="1E293B"/>
          <w:sz w:val="18"/>
        </w:rPr>
        <w:t>[2. System Architecture &amp; Operational Workflow](#2-system-architecture--operational-workflow)</w:t>
      </w:r>
    </w:p>
    <w:p w14:paraId="7CFD9E28" w14:textId="77777777" w:rsidR="002D7F6C" w:rsidRDefault="00000000">
      <w:pPr>
        <w:pStyle w:val="ListBullet"/>
        <w:spacing w:before="20" w:after="40"/>
      </w:pPr>
      <w:r>
        <w:rPr>
          <w:rFonts w:ascii="Segoe UI" w:hAnsi="Segoe UI"/>
          <w:color w:val="1E293B"/>
          <w:sz w:val="18"/>
        </w:rPr>
        <w:t>[3. Dataset Analysis and Preprocessing](#3-dataset-analysis-and-preprocessing)</w:t>
      </w:r>
    </w:p>
    <w:p w14:paraId="28A9687B" w14:textId="77777777" w:rsidR="002D7F6C" w:rsidRDefault="00000000">
      <w:pPr>
        <w:pStyle w:val="ListBullet"/>
        <w:spacing w:before="20" w:after="40"/>
        <w:ind w:left="576"/>
      </w:pPr>
      <w:r>
        <w:rPr>
          <w:rFonts w:ascii="Segoe UI" w:hAnsi="Segoe UI"/>
          <w:color w:val="1E293B"/>
          <w:sz w:val="18"/>
        </w:rPr>
        <w:t>[3.1 Master Dataset Inventory](#31-master-dataset-inventory)</w:t>
      </w:r>
    </w:p>
    <w:p w14:paraId="061A0B95" w14:textId="77777777" w:rsidR="002D7F6C" w:rsidRDefault="00000000">
      <w:pPr>
        <w:pStyle w:val="ListBullet"/>
        <w:spacing w:before="20" w:after="40"/>
        <w:ind w:left="576"/>
      </w:pPr>
      <w:r>
        <w:rPr>
          <w:rFonts w:ascii="Segoe UI" w:hAnsi="Segoe UI"/>
          <w:color w:val="1E293B"/>
          <w:sz w:val="18"/>
        </w:rPr>
        <w:t>[3.2 Clinical Symptom-Disease Manifold](#32-clinical-symptom-disease-manifold)</w:t>
      </w:r>
    </w:p>
    <w:p w14:paraId="303AFEE3" w14:textId="77777777" w:rsidR="002D7F6C" w:rsidRDefault="00000000">
      <w:pPr>
        <w:pStyle w:val="ListBullet"/>
        <w:spacing w:before="20" w:after="40"/>
        <w:ind w:left="576"/>
      </w:pPr>
      <w:r>
        <w:rPr>
          <w:rFonts w:ascii="Segoe UI" w:hAnsi="Segoe UI"/>
          <w:color w:val="1E293B"/>
          <w:sz w:val="18"/>
        </w:rPr>
        <w:t>[3.3 Longitudinal Epidemiological Surveillance Datasets](#33-longitudinal-epidemiological-surveillance-datasets)</w:t>
      </w:r>
    </w:p>
    <w:p w14:paraId="6251274D" w14:textId="77777777" w:rsidR="002D7F6C" w:rsidRDefault="00000000">
      <w:pPr>
        <w:pStyle w:val="ListBullet"/>
        <w:spacing w:before="20" w:after="40"/>
        <w:ind w:left="576"/>
      </w:pPr>
      <w:r>
        <w:rPr>
          <w:rFonts w:ascii="Segoe UI" w:hAnsi="Segoe UI"/>
          <w:color w:val="1E293B"/>
          <w:sz w:val="18"/>
        </w:rPr>
        <w:t>[3.4 Open Targets Biomedical Associations](#34-open-targets-biomedical-associations)</w:t>
      </w:r>
    </w:p>
    <w:p w14:paraId="5E5D90D5" w14:textId="77777777" w:rsidR="002D7F6C" w:rsidRDefault="00000000">
      <w:pPr>
        <w:pStyle w:val="ListBullet"/>
        <w:spacing w:before="20" w:after="40"/>
        <w:ind w:left="576"/>
      </w:pPr>
      <w:r>
        <w:rPr>
          <w:rFonts w:ascii="Segoe UI" w:hAnsi="Segoe UI"/>
          <w:color w:val="1E293B"/>
          <w:sz w:val="18"/>
        </w:rPr>
        <w:t>[3.5 ChEMBL Bioactivity Potency and Physicochemical Profiling](#35-chembl-bioactivity-potency-and-physicochemical-profiling)</w:t>
      </w:r>
    </w:p>
    <w:p w14:paraId="468A2FBE" w14:textId="77777777" w:rsidR="002D7F6C" w:rsidRDefault="00000000">
      <w:pPr>
        <w:pStyle w:val="ListBullet"/>
        <w:spacing w:before="20" w:after="40"/>
        <w:ind w:left="576"/>
      </w:pPr>
      <w:r>
        <w:rPr>
          <w:rFonts w:ascii="Segoe UI" w:hAnsi="Segoe UI"/>
          <w:color w:val="1E293B"/>
          <w:sz w:val="18"/>
        </w:rPr>
        <w:t>[3.6 FDA Drug Approval Timeline and Entity Resolution](#36-fda-drug-approval-timeline-and-entity-resolution)</w:t>
      </w:r>
    </w:p>
    <w:p w14:paraId="3E56693C" w14:textId="77777777" w:rsidR="002D7F6C" w:rsidRDefault="00000000">
      <w:pPr>
        <w:pStyle w:val="ListBullet"/>
        <w:spacing w:before="20" w:after="40"/>
        <w:ind w:left="576"/>
      </w:pPr>
      <w:r>
        <w:rPr>
          <w:rFonts w:ascii="Segoe UI" w:hAnsi="Segoe UI"/>
          <w:color w:val="1E293B"/>
          <w:sz w:val="18"/>
        </w:rPr>
        <w:t>[3.7 Master Development Timeline Integration and Cartesian Audit](#37-master-development-timeline-integration-and-cartesian-audit)</w:t>
      </w:r>
    </w:p>
    <w:p w14:paraId="140FFB24" w14:textId="77777777" w:rsidR="002D7F6C" w:rsidRDefault="00000000">
      <w:pPr>
        <w:pStyle w:val="ListBullet"/>
        <w:spacing w:before="20" w:after="40"/>
      </w:pPr>
      <w:r>
        <w:rPr>
          <w:rFonts w:ascii="Segoe UI" w:hAnsi="Segoe UI"/>
          <w:color w:val="1E293B"/>
          <w:sz w:val="18"/>
        </w:rPr>
        <w:t>[4. Implementation Methodology](#4-implementation-methodology)</w:t>
      </w:r>
    </w:p>
    <w:p w14:paraId="44224D79" w14:textId="77777777" w:rsidR="002D7F6C" w:rsidRDefault="00000000">
      <w:pPr>
        <w:pStyle w:val="ListBullet"/>
        <w:spacing w:before="20" w:after="40"/>
        <w:ind w:left="576"/>
      </w:pPr>
      <w:r>
        <w:rPr>
          <w:rFonts w:ascii="Segoe UI" w:hAnsi="Segoe UI"/>
          <w:color w:val="1E293B"/>
          <w:sz w:val="18"/>
        </w:rPr>
        <w:t>[4.1 Module 1: Leakage-Free Symptom-Based Disease Classification](#41-module-1-leakage-free-symptom-based-disease-classification)</w:t>
      </w:r>
    </w:p>
    <w:p w14:paraId="7302FA0A" w14:textId="59CBB7A0" w:rsidR="002D7F6C" w:rsidRDefault="00000000">
      <w:pPr>
        <w:pStyle w:val="ListBullet"/>
        <w:spacing w:before="20" w:after="40"/>
        <w:ind w:left="576"/>
      </w:pPr>
      <w:r>
        <w:rPr>
          <w:rFonts w:ascii="Segoe UI" w:hAnsi="Segoe UI"/>
          <w:color w:val="1E293B"/>
          <w:sz w:val="18"/>
        </w:rPr>
        <w:t xml:space="preserve">[4.2 Module 2: Multi-Attribute Therapeutic Candidate </w:t>
      </w:r>
      <w:r w:rsidR="00F70AF2">
        <w:rPr>
          <w:rFonts w:ascii="Segoe UI" w:hAnsi="Segoe UI"/>
          <w:color w:val="1E293B"/>
          <w:sz w:val="18"/>
        </w:rPr>
        <w:t>Prioritisation] (</w:t>
      </w:r>
      <w:r w:rsidR="00624455">
        <w:rPr>
          <w:rFonts w:ascii="Segoe UI" w:hAnsi="Segoe UI"/>
          <w:color w:val="1E293B"/>
          <w:sz w:val="18"/>
        </w:rPr>
        <w:t>#42-module-2-multi-attribute-therapeutic-candidate-prioritisation</w:t>
      </w:r>
      <w:r>
        <w:rPr>
          <w:rFonts w:ascii="Segoe UI" w:hAnsi="Segoe UI"/>
          <w:color w:val="1E293B"/>
          <w:sz w:val="18"/>
        </w:rPr>
        <w:t>)</w:t>
      </w:r>
    </w:p>
    <w:p w14:paraId="543F3EBA" w14:textId="77777777" w:rsidR="002D7F6C" w:rsidRDefault="00000000">
      <w:pPr>
        <w:pStyle w:val="ListBullet"/>
        <w:spacing w:before="20" w:after="40"/>
        <w:ind w:left="576"/>
      </w:pPr>
      <w:r>
        <w:rPr>
          <w:rFonts w:ascii="Segoe UI" w:hAnsi="Segoe UI"/>
          <w:color w:val="1E293B"/>
          <w:sz w:val="18"/>
        </w:rPr>
        <w:t>[4.3 Module 3: Longitudinal Epidemiological Trend and Outbreak Surveillance](#43-module-3-longitudinal-epidemiological-trend-and-outbreak-surveillance)</w:t>
      </w:r>
    </w:p>
    <w:p w14:paraId="19565165" w14:textId="77777777" w:rsidR="002D7F6C" w:rsidRDefault="00000000">
      <w:pPr>
        <w:pStyle w:val="ListBullet"/>
        <w:spacing w:before="20" w:after="40"/>
        <w:ind w:left="576"/>
      </w:pPr>
      <w:r>
        <w:rPr>
          <w:rFonts w:ascii="Segoe UI" w:hAnsi="Segoe UI"/>
          <w:color w:val="1E293B"/>
          <w:sz w:val="18"/>
        </w:rPr>
        <w:t>[4.4 Module 4: Master Therapeutic Timeline Validation and Regulatory Audit](#44-module-4-master-therapeutic-timeline-validation-and-regulatory-audit)</w:t>
      </w:r>
    </w:p>
    <w:p w14:paraId="1F7D51C8" w14:textId="77777777" w:rsidR="002D7F6C" w:rsidRDefault="00000000">
      <w:pPr>
        <w:pStyle w:val="ListBullet"/>
        <w:spacing w:before="20" w:after="40"/>
        <w:ind w:left="576"/>
      </w:pPr>
      <w:r>
        <w:rPr>
          <w:rFonts w:ascii="Segoe UI" w:hAnsi="Segoe UI"/>
          <w:color w:val="1E293B"/>
          <w:sz w:val="18"/>
        </w:rPr>
        <w:t>[4.5 Module 5: Experimental Biopharmaceutical Latency Forecasting Prototype](#45-module-5-experimental-biopharmaceutical-latency-forecasting-prototype)</w:t>
      </w:r>
    </w:p>
    <w:p w14:paraId="25B72114" w14:textId="77777777" w:rsidR="002D7F6C" w:rsidRDefault="00000000">
      <w:pPr>
        <w:pStyle w:val="ListBullet"/>
        <w:spacing w:before="20" w:after="40"/>
        <w:ind w:left="576"/>
      </w:pPr>
      <w:r>
        <w:rPr>
          <w:rFonts w:ascii="Segoe UI" w:hAnsi="Segoe UI"/>
          <w:color w:val="1E293B"/>
          <w:sz w:val="18"/>
        </w:rPr>
        <w:t>[4.6 Module 6: Model Explainability and Interpretability Analysis](#46-module-6-model-explainability-and-interpretability-analysis)</w:t>
      </w:r>
    </w:p>
    <w:p w14:paraId="7D7CB150" w14:textId="77777777" w:rsidR="002D7F6C" w:rsidRDefault="00000000">
      <w:pPr>
        <w:pStyle w:val="ListBullet"/>
        <w:spacing w:before="20" w:after="40"/>
        <w:ind w:left="576"/>
      </w:pPr>
      <w:r>
        <w:rPr>
          <w:rFonts w:ascii="Segoe UI" w:hAnsi="Segoe UI"/>
          <w:color w:val="1E293B"/>
          <w:sz w:val="18"/>
        </w:rPr>
        <w:t>[4.7 Pipeline Orchestration and Automated Quality Assurance](#47-pipeline-orchestration-and-automated-quality-assurance)</w:t>
      </w:r>
    </w:p>
    <w:p w14:paraId="33AB3AFB" w14:textId="77777777" w:rsidR="002D7F6C" w:rsidRDefault="00000000">
      <w:pPr>
        <w:pStyle w:val="ListBullet"/>
        <w:spacing w:before="20" w:after="40"/>
      </w:pPr>
      <w:r>
        <w:rPr>
          <w:rFonts w:ascii="Segoe UI" w:hAnsi="Segoe UI"/>
          <w:color w:val="1E293B"/>
          <w:sz w:val="18"/>
        </w:rPr>
        <w:t>[5. Partial Results and Scientific Discussion](#5-partial-results-and-scientific-discussion)</w:t>
      </w:r>
    </w:p>
    <w:p w14:paraId="4B027ED5" w14:textId="77777777" w:rsidR="002D7F6C" w:rsidRDefault="00000000">
      <w:pPr>
        <w:pStyle w:val="ListBullet"/>
        <w:spacing w:before="20" w:after="40"/>
        <w:ind w:left="576"/>
      </w:pPr>
      <w:r>
        <w:rPr>
          <w:rFonts w:ascii="Segoe UI" w:hAnsi="Segoe UI"/>
          <w:color w:val="1E293B"/>
          <w:sz w:val="18"/>
        </w:rPr>
        <w:t>[5.1 Symptom Classifier Benchmark Performance &amp; Clinical Generalizability Limitations](#51-symptom-classifier-benchmark-performance--clinical-generalizability-limitations)</w:t>
      </w:r>
    </w:p>
    <w:p w14:paraId="39C88E71" w14:textId="77777777" w:rsidR="002D7F6C" w:rsidRDefault="00000000">
      <w:pPr>
        <w:pStyle w:val="ListBullet"/>
        <w:spacing w:before="20" w:after="40"/>
        <w:ind w:left="576"/>
      </w:pPr>
      <w:r>
        <w:rPr>
          <w:rFonts w:ascii="Segoe UI" w:hAnsi="Segoe UI"/>
          <w:color w:val="1E293B"/>
          <w:sz w:val="18"/>
        </w:rPr>
        <w:t>[5.2 Epidemiological Forecasting Benchmarks &amp; Time-Series Non-Stationarity](#52-epidemiological-forecasting-benchmarks--time-series-non-stationarity)</w:t>
      </w:r>
    </w:p>
    <w:p w14:paraId="5E0D4F74" w14:textId="77777777" w:rsidR="002D7F6C" w:rsidRDefault="00000000">
      <w:pPr>
        <w:pStyle w:val="ListBullet"/>
        <w:spacing w:before="20" w:after="40"/>
        <w:ind w:left="576"/>
      </w:pPr>
      <w:r>
        <w:rPr>
          <w:rFonts w:ascii="Segoe UI" w:hAnsi="Segoe UI"/>
          <w:color w:val="1E293B"/>
          <w:sz w:val="18"/>
        </w:rPr>
        <w:t>[5.3 Therapeutic Candidate Prioritization &amp; Repurposing Hypothesis Framing](#53-therapeutic-candidate-prioritization--repurposing-hypothesis-framing)</w:t>
      </w:r>
    </w:p>
    <w:p w14:paraId="3FADFD24" w14:textId="77777777" w:rsidR="002D7F6C" w:rsidRDefault="00000000">
      <w:pPr>
        <w:pStyle w:val="ListBullet"/>
        <w:spacing w:before="20" w:after="40"/>
        <w:ind w:left="576"/>
      </w:pPr>
      <w:r>
        <w:rPr>
          <w:rFonts w:ascii="Segoe UI" w:hAnsi="Segoe UI"/>
          <w:color w:val="1E293B"/>
          <w:sz w:val="18"/>
        </w:rPr>
        <w:t>[5.4 Regulatory Timeline Audit &amp; Cartesian Expansion Disambiguation](#54-regulatory-timeline-audit--cartesian-expansion-disambiguation)</w:t>
      </w:r>
    </w:p>
    <w:p w14:paraId="10D52C6B" w14:textId="77777777" w:rsidR="002D7F6C" w:rsidRDefault="00000000">
      <w:pPr>
        <w:pStyle w:val="ListBullet"/>
        <w:spacing w:before="20" w:after="40"/>
        <w:ind w:left="576"/>
      </w:pPr>
      <w:r>
        <w:rPr>
          <w:rFonts w:ascii="Segoe UI" w:hAnsi="Segoe UI"/>
          <w:color w:val="1E293B"/>
          <w:sz w:val="18"/>
        </w:rPr>
        <w:t>[5.5 Development Latency Projections &amp; Appraisal of the "2114" Headline](#55-development-latency-projections--appraisal-of-the-2114-headline)</w:t>
      </w:r>
    </w:p>
    <w:p w14:paraId="5D15AC48" w14:textId="77777777" w:rsidR="002D7F6C" w:rsidRDefault="00000000">
      <w:pPr>
        <w:pStyle w:val="ListBullet"/>
        <w:spacing w:before="20" w:after="40"/>
      </w:pPr>
      <w:r>
        <w:rPr>
          <w:rFonts w:ascii="Segoe UI" w:hAnsi="Segoe UI"/>
          <w:color w:val="1E293B"/>
          <w:sz w:val="18"/>
        </w:rPr>
        <w:t>[6. Conclusion and Future Work](#6-conclusion-and-future-work)</w:t>
      </w:r>
    </w:p>
    <w:p w14:paraId="237F34D4" w14:textId="77777777" w:rsidR="002D7F6C" w:rsidRDefault="00000000">
      <w:pPr>
        <w:pStyle w:val="ListBullet"/>
        <w:spacing w:before="20" w:after="40"/>
      </w:pPr>
      <w:r>
        <w:rPr>
          <w:rFonts w:ascii="Segoe UI" w:hAnsi="Segoe UI"/>
          <w:color w:val="1E293B"/>
          <w:sz w:val="18"/>
        </w:rPr>
        <w:t>[7. References](#7-references)</w:t>
      </w:r>
    </w:p>
    <w:p w14:paraId="621A675B" w14:textId="77777777" w:rsidR="002D7F6C" w:rsidRDefault="00000000">
      <w:r>
        <w:br w:type="page"/>
      </w:r>
    </w:p>
    <w:p w14:paraId="29FBECB2" w14:textId="77777777" w:rsidR="002D7F6C" w:rsidRDefault="00000000">
      <w:pPr>
        <w:keepNext/>
        <w:spacing w:before="260" w:after="80"/>
      </w:pPr>
      <w:r>
        <w:rPr>
          <w:rFonts w:ascii="Segoe UI" w:hAnsi="Segoe UI"/>
          <w:b/>
          <w:color w:val="0F172A"/>
          <w:sz w:val="24"/>
        </w:rPr>
        <w:lastRenderedPageBreak/>
        <w:t>1. Executive Abstract</w:t>
      </w:r>
    </w:p>
    <w:p w14:paraId="40B42BF3" w14:textId="77777777" w:rsidR="002D7F6C" w:rsidRDefault="00000000">
      <w:pPr>
        <w:spacing w:after="80"/>
      </w:pPr>
      <w:r>
        <w:rPr>
          <w:rFonts w:ascii="Segoe UI" w:hAnsi="Segoe UI"/>
          <w:color w:val="1E293B"/>
          <w:sz w:val="18"/>
        </w:rPr>
        <w:t xml:space="preserve">The </w:t>
      </w:r>
      <w:r>
        <w:rPr>
          <w:rFonts w:ascii="Segoe UI" w:hAnsi="Segoe UI"/>
          <w:b/>
          <w:color w:val="1E293B"/>
          <w:sz w:val="18"/>
        </w:rPr>
        <w:t>TheraLens</w:t>
      </w:r>
      <w:r>
        <w:rPr>
          <w:rFonts w:ascii="Segoe UI" w:hAnsi="Segoe UI"/>
          <w:color w:val="1E293B"/>
          <w:sz w:val="18"/>
        </w:rPr>
        <w:t xml:space="preserve"> project establishes an integrated, multi-source applied machine learning and data engineering academic prototype designed to bridge the analytical gap between emerging clinical pathology detection, longitudinal epidemiological surveillance, biological target evidence scoring, and biopharmaceutical developmental latency forecasting. Modern biomedical translational discovery is severely impeded by data fragmentation: symptom diagnostic checklists, global pathogen incidence curves, chemical bioactivity screens, and regulatory drug approval timelines reside in isolated repositories with incompatible schemas, conflicting ontologies, and distinct temporal scales.</w:t>
      </w:r>
    </w:p>
    <w:p w14:paraId="5B06E776" w14:textId="52DC17F5" w:rsidR="002D7F6C" w:rsidRDefault="00000000">
      <w:pPr>
        <w:spacing w:after="80"/>
      </w:pPr>
      <w:r>
        <w:rPr>
          <w:rFonts w:ascii="Segoe UI" w:hAnsi="Segoe UI"/>
          <w:color w:val="1E293B"/>
          <w:sz w:val="18"/>
        </w:rPr>
        <w:t xml:space="preserve">In this College Review-2 milestone, TheraLens presents a verified end-to-end operational pipeline comprising six analytical modules executed across twelve curated biomedical datasets. First, a supervised disease classifier is trained on a deduplicated clinical symptom manifold (reducing 4,961 raw records to 304 unique clinical feature vectors across 41 classes), mitigating synthetic identical-record leakage within this benchmark and evaluating linear separability on the deduplicated feature space. Second, a multi-attribute </w:t>
      </w:r>
      <w:r w:rsidR="00624455">
        <w:rPr>
          <w:rFonts w:ascii="Segoe UI" w:hAnsi="Segoe UI"/>
          <w:color w:val="1E293B"/>
          <w:sz w:val="18"/>
        </w:rPr>
        <w:t>prioritisation</w:t>
      </w:r>
      <w:r>
        <w:rPr>
          <w:rFonts w:ascii="Segoe UI" w:hAnsi="Segoe UI"/>
          <w:color w:val="1E293B"/>
          <w:sz w:val="18"/>
        </w:rPr>
        <w:t xml:space="preserve"> engine scores 25,650 disease-target-molecule candidate pairs across 37 disease categories by integrating Open Targets genetic association evidence, </w:t>
      </w:r>
      <w:r w:rsidR="00624455">
        <w:rPr>
          <w:rFonts w:ascii="Segoe UI" w:hAnsi="Segoe UI"/>
          <w:color w:val="1E293B"/>
          <w:sz w:val="18"/>
        </w:rPr>
        <w:t>standardised</w:t>
      </w:r>
      <w:r>
        <w:rPr>
          <w:rFonts w:ascii="Segoe UI" w:hAnsi="Segoe UI"/>
          <w:color w:val="1E293B"/>
          <w:sz w:val="18"/>
        </w:rPr>
        <w:t xml:space="preserve"> negative logarithmic molar potency (</w:t>
      </w:r>
      <w:r>
        <w:rPr>
          <w:rFonts w:ascii="Cambria Math" w:hAnsi="Cambria Math"/>
          <w:i/>
          <w:color w:val="1E293B"/>
          <w:sz w:val="18"/>
        </w:rPr>
        <w:t>pChEMBL</w:t>
      </w:r>
      <w:r>
        <w:rPr>
          <w:rFonts w:ascii="Segoe UI" w:hAnsi="Segoe UI"/>
          <w:color w:val="1E293B"/>
          <w:sz w:val="18"/>
        </w:rPr>
        <w:t xml:space="preserve">), Lipinski rule oral bioavailability filters, and global development maturity bonuses. Third, longitudinal epidemiological surveillance standardizes 5,426 records across Measles, Yellow Fever, and weekly Cholera, detecting 224 statistically verified outbreak surges and evaluating time-ordered predictive benchmarks on a 10-year held-out horizon (2015–2024). Fourth, a chunked regulatory audit processes 555,323 master timeline join rows, disambiguating an </w:t>
      </w:r>
      <w:r>
        <w:rPr>
          <w:rFonts w:ascii="Cambria Math" w:hAnsi="Cambria Math"/>
          <w:i/>
          <w:color w:val="1E293B"/>
          <w:sz w:val="18"/>
        </w:rPr>
        <w:t>18.25×</w:t>
      </w:r>
      <w:r>
        <w:rPr>
          <w:rFonts w:ascii="Segoe UI" w:hAnsi="Segoe UI"/>
          <w:color w:val="1E293B"/>
          <w:sz w:val="18"/>
        </w:rPr>
        <w:t xml:space="preserve"> Cartesian formulation expansion and cleanly separating 72,277 FDA-approved molecules with a ChEMBL Phase 4 record from 483,043 investigational indication records. Fifth, an experimental biopharmaceutical progression prototype models clinical transition latencies using published industry benchmarks (DiMasi et al., Hay et al.), projecting exploratory median milestone years (2028–2041, with heuristic confidence windows spanning 2027–2045) while providing an academic appraisal documenting why century-scale horizons (such as the project proposal's illustrative "2114" concept) carry unbounded epistemic uncertainty. Sixth, model explainability is established through permutation feature importance and exact mathematical score decomposition.</w:t>
      </w:r>
    </w:p>
    <w:p w14:paraId="32EA8012" w14:textId="77777777" w:rsidR="002D7F6C" w:rsidRDefault="00000000">
      <w:pPr>
        <w:spacing w:after="80"/>
      </w:pPr>
      <w:r>
        <w:rPr>
          <w:rFonts w:ascii="Segoe UI" w:hAnsi="Segoe UI"/>
          <w:color w:val="1E293B"/>
          <w:sz w:val="18"/>
        </w:rPr>
        <w:t xml:space="preserve">The current implementation achieves </w:t>
      </w:r>
      <w:r>
        <w:rPr>
          <w:rFonts w:ascii="Segoe UI" w:hAnsi="Segoe UI"/>
          <w:b/>
          <w:color w:val="1E293B"/>
          <w:sz w:val="18"/>
        </w:rPr>
        <w:t>82.5% overall project completion</w:t>
      </w:r>
      <w:r>
        <w:rPr>
          <w:rFonts w:ascii="Segoe UI" w:hAnsi="Segoe UI"/>
          <w:color w:val="1E293B"/>
          <w:sz w:val="18"/>
        </w:rPr>
        <w:t>, structured as software that executed successfully across all six analytical modules and is supported by an automated test suite with a 15/15 (100%) pass rate. While automated software testing confirms computational execution integrity, data structure validity, and regression prevention, it does not establish biological or clinical validity. Crucially, all findings are framed with scientific conservatism: benchmark classifier scores on synthetic data are explicitly dissociated from real-world clinical diagnostic accuracy, candidate prioritizations are framed as in-silico computational research hypotheses rather than approved medical treatments, and joined timeline rows are accurately identified as formulation join records rather than unique clinical trials or verified indication-specific FDA marketing authorizations.</w:t>
      </w:r>
    </w:p>
    <w:p w14:paraId="69400316" w14:textId="77777777" w:rsidR="002D7F6C" w:rsidRDefault="00000000">
      <w:pPr>
        <w:keepNext/>
        <w:spacing w:before="260" w:after="80"/>
      </w:pPr>
      <w:r>
        <w:rPr>
          <w:rFonts w:ascii="Segoe UI" w:hAnsi="Segoe UI"/>
          <w:b/>
          <w:color w:val="0F172A"/>
          <w:sz w:val="24"/>
        </w:rPr>
        <w:t>2. System Architecture &amp; Operational Workflow</w:t>
      </w:r>
    </w:p>
    <w:p w14:paraId="57C346F2" w14:textId="77777777" w:rsidR="002D7F6C" w:rsidRDefault="00000000">
      <w:pPr>
        <w:spacing w:after="80"/>
      </w:pPr>
      <w:r>
        <w:rPr>
          <w:rFonts w:ascii="Segoe UI" w:hAnsi="Segoe UI"/>
          <w:color w:val="1E293B"/>
          <w:sz w:val="18"/>
        </w:rPr>
        <w:t>The TheraLens system is architected as a modular, feed-forward analytical pipeline with strict boundaries between raw data ingestion, feature deduplication, model fitting, and post-hoc explainability. Figure 2.1 illustrates the complete operational architecture and data flow across all six executed modules.</w:t>
      </w:r>
    </w:p>
    <w:p w14:paraId="79859797" w14:textId="77777777" w:rsidR="002D7F6C" w:rsidRDefault="00000000">
      <w:pPr>
        <w:keepNext/>
        <w:spacing w:before="160" w:after="40"/>
        <w:jc w:val="center"/>
      </w:pPr>
      <w:r>
        <w:rPr>
          <w:noProof/>
        </w:rPr>
        <w:drawing>
          <wp:inline distT="0" distB="0" distL="0" distR="0" wp14:anchorId="0C4744FE" wp14:editId="08159E0B">
            <wp:extent cx="5303520" cy="177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303520" cy="1778972"/>
                    </a:xfrm>
                    <a:prstGeom prst="rect">
                      <a:avLst/>
                    </a:prstGeom>
                  </pic:spPr>
                </pic:pic>
              </a:graphicData>
            </a:graphic>
          </wp:inline>
        </w:drawing>
      </w:r>
    </w:p>
    <w:p w14:paraId="1515685B" w14:textId="77777777" w:rsidR="002D7F6C" w:rsidRDefault="00000000">
      <w:pPr>
        <w:spacing w:before="40" w:after="160"/>
        <w:jc w:val="center"/>
      </w:pPr>
      <w:r>
        <w:rPr>
          <w:rFonts w:ascii="Segoe UI" w:hAnsi="Segoe UI"/>
          <w:i/>
          <w:color w:val="64748B"/>
          <w:sz w:val="16"/>
        </w:rPr>
        <w:t>Figure 2.1: TheraLens multi-source operational architecture across data acquisition, deduplication, machine learning classification, prioritization, surveillance, regulatory audits, and quality assurance.</w:t>
      </w:r>
    </w:p>
    <w:p w14:paraId="71511F22" w14:textId="77777777" w:rsidR="002D7F6C" w:rsidRDefault="00000000">
      <w:r>
        <w:br w:type="page"/>
      </w:r>
    </w:p>
    <w:p w14:paraId="50243E68" w14:textId="77777777" w:rsidR="002D7F6C" w:rsidRDefault="00000000">
      <w:pPr>
        <w:keepNext/>
        <w:spacing w:before="260" w:after="80"/>
      </w:pPr>
      <w:r>
        <w:rPr>
          <w:rFonts w:ascii="Segoe UI" w:hAnsi="Segoe UI"/>
          <w:b/>
          <w:color w:val="0F172A"/>
          <w:sz w:val="24"/>
        </w:rPr>
        <w:lastRenderedPageBreak/>
        <w:t>3. Dataset Analysis and Preprocessing</w:t>
      </w:r>
    </w:p>
    <w:p w14:paraId="197AFAB8" w14:textId="77777777" w:rsidR="002D7F6C" w:rsidRDefault="00000000">
      <w:pPr>
        <w:keepNext/>
        <w:spacing w:before="180" w:after="60"/>
      </w:pPr>
      <w:r>
        <w:rPr>
          <w:rFonts w:ascii="Segoe UI" w:hAnsi="Segoe UI"/>
          <w:b/>
          <w:color w:val="0F172A"/>
          <w:sz w:val="20"/>
        </w:rPr>
        <w:t>3.1 Master Dataset Inventory</w:t>
      </w:r>
    </w:p>
    <w:p w14:paraId="1DF11DA4" w14:textId="77777777" w:rsidR="002D7F6C" w:rsidRDefault="00000000">
      <w:pPr>
        <w:spacing w:after="80"/>
      </w:pPr>
      <w:r>
        <w:rPr>
          <w:rFonts w:ascii="Segoe UI" w:hAnsi="Segoe UI"/>
          <w:color w:val="1E293B"/>
          <w:sz w:val="18"/>
        </w:rPr>
        <w:t>The TheraLens architecture ingests, cleanses, audits, and integrates twelve datasets representing four distinct domains: clinical manifestations, epidemiological time series, molecular pharmacodynamics, and historical regulatory marketing authorizations. Table 3.1 outlines the complete physical dataset inventory calculated directly from active repository storage.</w:t>
      </w:r>
    </w:p>
    <w:p w14:paraId="460AEA47" w14:textId="77777777" w:rsidR="002D7F6C" w:rsidRDefault="00000000">
      <w:pPr>
        <w:keepNext/>
        <w:spacing w:before="120" w:after="40"/>
      </w:pPr>
      <w:r>
        <w:rPr>
          <w:rFonts w:ascii="Segoe UI" w:hAnsi="Segoe UI"/>
          <w:b/>
          <w:color w:val="334155"/>
          <w:sz w:val="18"/>
        </w:rPr>
        <w:t>Table 3.1: TheraLens Physical Dataset Inventory and Verification Matrix</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106"/>
        <w:gridCol w:w="3806"/>
        <w:gridCol w:w="1228"/>
        <w:gridCol w:w="805"/>
        <w:gridCol w:w="849"/>
        <w:gridCol w:w="920"/>
        <w:gridCol w:w="1195"/>
      </w:tblGrid>
      <w:tr w:rsidR="002D7F6C" w14:paraId="70439A77" w14:textId="77777777">
        <w:trPr>
          <w:jc w:val="center"/>
        </w:trPr>
        <w:tc>
          <w:tcPr>
            <w:tcW w:w="1393" w:type="dxa"/>
            <w:shd w:val="clear" w:color="auto" w:fill="F1F5F9"/>
            <w:tcMar>
              <w:top w:w="60" w:type="dxa"/>
              <w:left w:w="80" w:type="dxa"/>
              <w:bottom w:w="60" w:type="dxa"/>
              <w:right w:w="80" w:type="dxa"/>
            </w:tcMar>
          </w:tcPr>
          <w:p w14:paraId="2BCA8D7F" w14:textId="77777777" w:rsidR="002D7F6C" w:rsidRDefault="00000000">
            <w:pPr>
              <w:spacing w:after="0" w:line="264" w:lineRule="auto"/>
            </w:pPr>
            <w:r>
              <w:rPr>
                <w:rFonts w:ascii="Segoe UI" w:hAnsi="Segoe UI"/>
                <w:b/>
                <w:color w:val="0F172A"/>
                <w:sz w:val="15"/>
              </w:rPr>
              <w:t>Dataset Identifier</w:t>
            </w:r>
          </w:p>
        </w:tc>
        <w:tc>
          <w:tcPr>
            <w:tcW w:w="1393" w:type="dxa"/>
            <w:shd w:val="clear" w:color="auto" w:fill="F1F5F9"/>
            <w:tcMar>
              <w:top w:w="60" w:type="dxa"/>
              <w:left w:w="80" w:type="dxa"/>
              <w:bottom w:w="60" w:type="dxa"/>
              <w:right w:w="80" w:type="dxa"/>
            </w:tcMar>
          </w:tcPr>
          <w:p w14:paraId="14A3039A" w14:textId="77777777" w:rsidR="002D7F6C" w:rsidRDefault="00000000">
            <w:pPr>
              <w:spacing w:after="0" w:line="264" w:lineRule="auto"/>
            </w:pPr>
            <w:r>
              <w:rPr>
                <w:rFonts w:ascii="Segoe UI" w:hAnsi="Segoe UI"/>
                <w:b/>
                <w:color w:val="0F172A"/>
                <w:sz w:val="15"/>
              </w:rPr>
              <w:t>Physical Path</w:t>
            </w:r>
          </w:p>
        </w:tc>
        <w:tc>
          <w:tcPr>
            <w:tcW w:w="1393" w:type="dxa"/>
            <w:shd w:val="clear" w:color="auto" w:fill="F1F5F9"/>
            <w:tcMar>
              <w:top w:w="60" w:type="dxa"/>
              <w:left w:w="80" w:type="dxa"/>
              <w:bottom w:w="60" w:type="dxa"/>
              <w:right w:w="80" w:type="dxa"/>
            </w:tcMar>
          </w:tcPr>
          <w:p w14:paraId="4CCDE2D7" w14:textId="77777777" w:rsidR="002D7F6C" w:rsidRDefault="00000000">
            <w:pPr>
              <w:spacing w:after="0" w:line="264" w:lineRule="auto"/>
            </w:pPr>
            <w:r>
              <w:rPr>
                <w:rFonts w:ascii="Segoe UI" w:hAnsi="Segoe UI"/>
                <w:b/>
                <w:color w:val="0F172A"/>
                <w:sz w:val="15"/>
              </w:rPr>
              <w:t>Source Domain</w:t>
            </w:r>
          </w:p>
        </w:tc>
        <w:tc>
          <w:tcPr>
            <w:tcW w:w="1393" w:type="dxa"/>
            <w:shd w:val="clear" w:color="auto" w:fill="F1F5F9"/>
            <w:tcMar>
              <w:top w:w="60" w:type="dxa"/>
              <w:left w:w="80" w:type="dxa"/>
              <w:bottom w:w="60" w:type="dxa"/>
              <w:right w:w="80" w:type="dxa"/>
            </w:tcMar>
          </w:tcPr>
          <w:p w14:paraId="11843F47" w14:textId="77777777" w:rsidR="002D7F6C" w:rsidRDefault="00000000">
            <w:pPr>
              <w:spacing w:after="0" w:line="264" w:lineRule="auto"/>
            </w:pPr>
            <w:r>
              <w:rPr>
                <w:rFonts w:ascii="Segoe UI" w:hAnsi="Segoe UI"/>
                <w:b/>
                <w:color w:val="0F172A"/>
                <w:sz w:val="15"/>
              </w:rPr>
              <w:t>Records</w:t>
            </w:r>
          </w:p>
        </w:tc>
        <w:tc>
          <w:tcPr>
            <w:tcW w:w="1393" w:type="dxa"/>
            <w:shd w:val="clear" w:color="auto" w:fill="F1F5F9"/>
            <w:tcMar>
              <w:top w:w="60" w:type="dxa"/>
              <w:left w:w="80" w:type="dxa"/>
              <w:bottom w:w="60" w:type="dxa"/>
              <w:right w:w="80" w:type="dxa"/>
            </w:tcMar>
          </w:tcPr>
          <w:p w14:paraId="197C5339" w14:textId="77777777" w:rsidR="002D7F6C" w:rsidRDefault="00000000">
            <w:pPr>
              <w:spacing w:after="0" w:line="264" w:lineRule="auto"/>
            </w:pPr>
            <w:r>
              <w:rPr>
                <w:rFonts w:ascii="Segoe UI" w:hAnsi="Segoe UI"/>
                <w:b/>
                <w:color w:val="0F172A"/>
                <w:sz w:val="15"/>
              </w:rPr>
              <w:t>Columns</w:t>
            </w:r>
          </w:p>
        </w:tc>
        <w:tc>
          <w:tcPr>
            <w:tcW w:w="1393" w:type="dxa"/>
            <w:shd w:val="clear" w:color="auto" w:fill="F1F5F9"/>
            <w:tcMar>
              <w:top w:w="60" w:type="dxa"/>
              <w:left w:w="80" w:type="dxa"/>
              <w:bottom w:w="60" w:type="dxa"/>
              <w:right w:w="80" w:type="dxa"/>
            </w:tcMar>
          </w:tcPr>
          <w:p w14:paraId="51916FAC" w14:textId="77777777" w:rsidR="002D7F6C" w:rsidRDefault="00000000">
            <w:pPr>
              <w:spacing w:after="0" w:line="264" w:lineRule="auto"/>
            </w:pPr>
            <w:r>
              <w:rPr>
                <w:rFonts w:ascii="Segoe UI" w:hAnsi="Segoe UI"/>
                <w:b/>
                <w:color w:val="0F172A"/>
                <w:sz w:val="15"/>
              </w:rPr>
              <w:t>Unique Entities</w:t>
            </w:r>
          </w:p>
        </w:tc>
        <w:tc>
          <w:tcPr>
            <w:tcW w:w="1393" w:type="dxa"/>
            <w:shd w:val="clear" w:color="auto" w:fill="F1F5F9"/>
            <w:tcMar>
              <w:top w:w="60" w:type="dxa"/>
              <w:left w:w="80" w:type="dxa"/>
              <w:bottom w:w="60" w:type="dxa"/>
              <w:right w:w="80" w:type="dxa"/>
            </w:tcMar>
          </w:tcPr>
          <w:p w14:paraId="5375FBA4" w14:textId="77777777" w:rsidR="002D7F6C" w:rsidRDefault="00000000">
            <w:pPr>
              <w:spacing w:after="0" w:line="264" w:lineRule="auto"/>
            </w:pPr>
            <w:r>
              <w:rPr>
                <w:rFonts w:ascii="Segoe UI" w:hAnsi="Segoe UI"/>
                <w:b/>
                <w:color w:val="0F172A"/>
                <w:sz w:val="15"/>
              </w:rPr>
              <w:t>Key Audit Finding</w:t>
            </w:r>
          </w:p>
        </w:tc>
      </w:tr>
      <w:tr w:rsidR="002D7F6C" w14:paraId="43A19672" w14:textId="77777777">
        <w:trPr>
          <w:jc w:val="center"/>
        </w:trPr>
        <w:tc>
          <w:tcPr>
            <w:tcW w:w="1393" w:type="dxa"/>
            <w:shd w:val="clear" w:color="auto" w:fill="F8FAFC"/>
            <w:tcMar>
              <w:top w:w="60" w:type="dxa"/>
              <w:left w:w="80" w:type="dxa"/>
              <w:bottom w:w="60" w:type="dxa"/>
              <w:right w:w="80" w:type="dxa"/>
            </w:tcMar>
          </w:tcPr>
          <w:p w14:paraId="6C89C9E7" w14:textId="77777777" w:rsidR="002D7F6C" w:rsidRDefault="00000000">
            <w:pPr>
              <w:spacing w:after="0" w:line="264" w:lineRule="auto"/>
            </w:pPr>
            <w:r>
              <w:rPr>
                <w:rFonts w:ascii="Segoe UI" w:hAnsi="Segoe UI"/>
                <w:b/>
                <w:color w:val="1E293B"/>
                <w:sz w:val="14"/>
              </w:rPr>
              <w:t>Disease-Symptom Matrix</w:t>
            </w:r>
          </w:p>
        </w:tc>
        <w:tc>
          <w:tcPr>
            <w:tcW w:w="1393" w:type="dxa"/>
            <w:shd w:val="clear" w:color="auto" w:fill="F8FAFC"/>
            <w:tcMar>
              <w:top w:w="60" w:type="dxa"/>
              <w:left w:w="80" w:type="dxa"/>
              <w:bottom w:w="60" w:type="dxa"/>
              <w:right w:w="80" w:type="dxa"/>
            </w:tcMar>
          </w:tcPr>
          <w:p w14:paraId="7D139ABA" w14:textId="77777777" w:rsidR="002D7F6C" w:rsidRDefault="00000000">
            <w:pPr>
              <w:spacing w:after="0" w:line="264" w:lineRule="auto"/>
            </w:pPr>
            <w:r>
              <w:rPr>
                <w:rFonts w:ascii="Consolas" w:hAnsi="Consolas"/>
                <w:color w:val="0284C7"/>
                <w:sz w:val="13"/>
              </w:rPr>
              <w:t>data/raw/symptom_disease.csv</w:t>
            </w:r>
          </w:p>
        </w:tc>
        <w:tc>
          <w:tcPr>
            <w:tcW w:w="1393" w:type="dxa"/>
            <w:shd w:val="clear" w:color="auto" w:fill="F8FAFC"/>
            <w:tcMar>
              <w:top w:w="60" w:type="dxa"/>
              <w:left w:w="80" w:type="dxa"/>
              <w:bottom w:w="60" w:type="dxa"/>
              <w:right w:w="80" w:type="dxa"/>
            </w:tcMar>
          </w:tcPr>
          <w:p w14:paraId="7423BC7D" w14:textId="77777777" w:rsidR="002D7F6C" w:rsidRDefault="00000000">
            <w:pPr>
              <w:spacing w:after="0" w:line="264" w:lineRule="auto"/>
            </w:pPr>
            <w:r>
              <w:rPr>
                <w:rFonts w:ascii="Segoe UI" w:hAnsi="Segoe UI"/>
                <w:color w:val="1E293B"/>
                <w:sz w:val="14"/>
              </w:rPr>
              <w:t>Clinical Diagnostic</w:t>
            </w:r>
          </w:p>
        </w:tc>
        <w:tc>
          <w:tcPr>
            <w:tcW w:w="1393" w:type="dxa"/>
            <w:shd w:val="clear" w:color="auto" w:fill="F8FAFC"/>
            <w:tcMar>
              <w:top w:w="60" w:type="dxa"/>
              <w:left w:w="80" w:type="dxa"/>
              <w:bottom w:w="60" w:type="dxa"/>
              <w:right w:w="80" w:type="dxa"/>
            </w:tcMar>
          </w:tcPr>
          <w:p w14:paraId="1A030F68" w14:textId="77777777" w:rsidR="002D7F6C" w:rsidRDefault="00000000">
            <w:pPr>
              <w:spacing w:after="0" w:line="264" w:lineRule="auto"/>
            </w:pPr>
            <w:r>
              <w:rPr>
                <w:rFonts w:ascii="Segoe UI" w:hAnsi="Segoe UI"/>
                <w:color w:val="1E293B"/>
                <w:sz w:val="14"/>
              </w:rPr>
              <w:t>4,961</w:t>
            </w:r>
          </w:p>
        </w:tc>
        <w:tc>
          <w:tcPr>
            <w:tcW w:w="1393" w:type="dxa"/>
            <w:shd w:val="clear" w:color="auto" w:fill="F8FAFC"/>
            <w:tcMar>
              <w:top w:w="60" w:type="dxa"/>
              <w:left w:w="80" w:type="dxa"/>
              <w:bottom w:w="60" w:type="dxa"/>
              <w:right w:w="80" w:type="dxa"/>
            </w:tcMar>
          </w:tcPr>
          <w:p w14:paraId="0272D656" w14:textId="77777777" w:rsidR="002D7F6C" w:rsidRDefault="00000000">
            <w:pPr>
              <w:spacing w:after="0" w:line="264" w:lineRule="auto"/>
            </w:pPr>
            <w:r>
              <w:rPr>
                <w:rFonts w:ascii="Segoe UI" w:hAnsi="Segoe UI"/>
                <w:color w:val="1E293B"/>
                <w:sz w:val="14"/>
              </w:rPr>
              <w:t>133</w:t>
            </w:r>
          </w:p>
        </w:tc>
        <w:tc>
          <w:tcPr>
            <w:tcW w:w="1393" w:type="dxa"/>
            <w:shd w:val="clear" w:color="auto" w:fill="F8FAFC"/>
            <w:tcMar>
              <w:top w:w="60" w:type="dxa"/>
              <w:left w:w="80" w:type="dxa"/>
              <w:bottom w:w="60" w:type="dxa"/>
              <w:right w:w="80" w:type="dxa"/>
            </w:tcMar>
          </w:tcPr>
          <w:p w14:paraId="0A9554A6" w14:textId="77777777" w:rsidR="002D7F6C" w:rsidRDefault="00000000">
            <w:pPr>
              <w:spacing w:after="0" w:line="264" w:lineRule="auto"/>
            </w:pPr>
            <w:r>
              <w:rPr>
                <w:rFonts w:ascii="Segoe UI" w:hAnsi="Segoe UI"/>
                <w:color w:val="1E293B"/>
                <w:sz w:val="14"/>
              </w:rPr>
              <w:t>41 classes</w:t>
            </w:r>
          </w:p>
        </w:tc>
        <w:tc>
          <w:tcPr>
            <w:tcW w:w="1393" w:type="dxa"/>
            <w:shd w:val="clear" w:color="auto" w:fill="F8FAFC"/>
            <w:tcMar>
              <w:top w:w="60" w:type="dxa"/>
              <w:left w:w="80" w:type="dxa"/>
              <w:bottom w:w="60" w:type="dxa"/>
              <w:right w:w="80" w:type="dxa"/>
            </w:tcMar>
          </w:tcPr>
          <w:p w14:paraId="1DDD08A6" w14:textId="77777777" w:rsidR="002D7F6C" w:rsidRDefault="00000000">
            <w:pPr>
              <w:spacing w:after="0" w:line="264" w:lineRule="auto"/>
            </w:pPr>
            <w:r>
              <w:rPr>
                <w:rFonts w:ascii="Segoe UI" w:hAnsi="Segoe UI"/>
                <w:color w:val="1E293B"/>
                <w:sz w:val="14"/>
              </w:rPr>
              <w:t>4,657 rows (93.87%) are exact duplicate feature vectors.</w:t>
            </w:r>
          </w:p>
        </w:tc>
      </w:tr>
      <w:tr w:rsidR="002D7F6C" w14:paraId="6CA2A633" w14:textId="77777777">
        <w:trPr>
          <w:jc w:val="center"/>
        </w:trPr>
        <w:tc>
          <w:tcPr>
            <w:tcW w:w="1393" w:type="dxa"/>
            <w:tcMar>
              <w:top w:w="60" w:type="dxa"/>
              <w:left w:w="80" w:type="dxa"/>
              <w:bottom w:w="60" w:type="dxa"/>
              <w:right w:w="80" w:type="dxa"/>
            </w:tcMar>
          </w:tcPr>
          <w:p w14:paraId="29156F51" w14:textId="77777777" w:rsidR="002D7F6C" w:rsidRDefault="00000000">
            <w:pPr>
              <w:spacing w:after="0" w:line="264" w:lineRule="auto"/>
            </w:pPr>
            <w:r>
              <w:rPr>
                <w:rFonts w:ascii="Segoe UI" w:hAnsi="Segoe UI"/>
                <w:b/>
                <w:color w:val="1E293B"/>
                <w:sz w:val="14"/>
              </w:rPr>
              <w:t>Cleaned Symptom Manifold</w:t>
            </w:r>
          </w:p>
        </w:tc>
        <w:tc>
          <w:tcPr>
            <w:tcW w:w="1393" w:type="dxa"/>
            <w:tcMar>
              <w:top w:w="60" w:type="dxa"/>
              <w:left w:w="80" w:type="dxa"/>
              <w:bottom w:w="60" w:type="dxa"/>
              <w:right w:w="80" w:type="dxa"/>
            </w:tcMar>
          </w:tcPr>
          <w:p w14:paraId="365C34C4" w14:textId="77777777" w:rsidR="002D7F6C" w:rsidRDefault="00000000">
            <w:pPr>
              <w:spacing w:after="0" w:line="264" w:lineRule="auto"/>
            </w:pPr>
            <w:r>
              <w:rPr>
                <w:rFonts w:ascii="Consolas" w:hAnsi="Consolas"/>
                <w:color w:val="0284C7"/>
                <w:sz w:val="13"/>
              </w:rPr>
              <w:t>data/processed/symptom_disease_clean.csv</w:t>
            </w:r>
          </w:p>
        </w:tc>
        <w:tc>
          <w:tcPr>
            <w:tcW w:w="1393" w:type="dxa"/>
            <w:tcMar>
              <w:top w:w="60" w:type="dxa"/>
              <w:left w:w="80" w:type="dxa"/>
              <w:bottom w:w="60" w:type="dxa"/>
              <w:right w:w="80" w:type="dxa"/>
            </w:tcMar>
          </w:tcPr>
          <w:p w14:paraId="0A6121D7" w14:textId="77777777" w:rsidR="002D7F6C" w:rsidRDefault="00000000">
            <w:pPr>
              <w:spacing w:after="0" w:line="264" w:lineRule="auto"/>
            </w:pPr>
            <w:r>
              <w:rPr>
                <w:rFonts w:ascii="Segoe UI" w:hAnsi="Segoe UI"/>
                <w:color w:val="1E293B"/>
                <w:sz w:val="14"/>
              </w:rPr>
              <w:t>Clinical Diagnostic</w:t>
            </w:r>
          </w:p>
        </w:tc>
        <w:tc>
          <w:tcPr>
            <w:tcW w:w="1393" w:type="dxa"/>
            <w:tcMar>
              <w:top w:w="60" w:type="dxa"/>
              <w:left w:w="80" w:type="dxa"/>
              <w:bottom w:w="60" w:type="dxa"/>
              <w:right w:w="80" w:type="dxa"/>
            </w:tcMar>
          </w:tcPr>
          <w:p w14:paraId="4B5BF864" w14:textId="77777777" w:rsidR="002D7F6C" w:rsidRDefault="00000000">
            <w:pPr>
              <w:spacing w:after="0" w:line="264" w:lineRule="auto"/>
            </w:pPr>
            <w:r>
              <w:rPr>
                <w:rFonts w:ascii="Segoe UI" w:hAnsi="Segoe UI"/>
                <w:color w:val="1E293B"/>
                <w:sz w:val="14"/>
              </w:rPr>
              <w:t>304</w:t>
            </w:r>
          </w:p>
        </w:tc>
        <w:tc>
          <w:tcPr>
            <w:tcW w:w="1393" w:type="dxa"/>
            <w:tcMar>
              <w:top w:w="60" w:type="dxa"/>
              <w:left w:w="80" w:type="dxa"/>
              <w:bottom w:w="60" w:type="dxa"/>
              <w:right w:w="80" w:type="dxa"/>
            </w:tcMar>
          </w:tcPr>
          <w:p w14:paraId="2254F284" w14:textId="77777777" w:rsidR="002D7F6C" w:rsidRDefault="00000000">
            <w:pPr>
              <w:spacing w:after="0" w:line="264" w:lineRule="auto"/>
            </w:pPr>
            <w:r>
              <w:rPr>
                <w:rFonts w:ascii="Segoe UI" w:hAnsi="Segoe UI"/>
                <w:color w:val="1E293B"/>
                <w:sz w:val="14"/>
              </w:rPr>
              <w:t>133</w:t>
            </w:r>
          </w:p>
        </w:tc>
        <w:tc>
          <w:tcPr>
            <w:tcW w:w="1393" w:type="dxa"/>
            <w:tcMar>
              <w:top w:w="60" w:type="dxa"/>
              <w:left w:w="80" w:type="dxa"/>
              <w:bottom w:w="60" w:type="dxa"/>
              <w:right w:w="80" w:type="dxa"/>
            </w:tcMar>
          </w:tcPr>
          <w:p w14:paraId="2FE871CB" w14:textId="77777777" w:rsidR="002D7F6C" w:rsidRDefault="00000000">
            <w:pPr>
              <w:spacing w:after="0" w:line="264" w:lineRule="auto"/>
            </w:pPr>
            <w:r>
              <w:rPr>
                <w:rFonts w:ascii="Segoe UI" w:hAnsi="Segoe UI"/>
                <w:color w:val="1E293B"/>
                <w:sz w:val="14"/>
              </w:rPr>
              <w:t>41 classes</w:t>
            </w:r>
          </w:p>
        </w:tc>
        <w:tc>
          <w:tcPr>
            <w:tcW w:w="1393" w:type="dxa"/>
            <w:tcMar>
              <w:top w:w="60" w:type="dxa"/>
              <w:left w:w="80" w:type="dxa"/>
              <w:bottom w:w="60" w:type="dxa"/>
              <w:right w:w="80" w:type="dxa"/>
            </w:tcMar>
          </w:tcPr>
          <w:p w14:paraId="0362494C" w14:textId="77777777" w:rsidR="002D7F6C" w:rsidRDefault="00000000">
            <w:pPr>
              <w:spacing w:after="0" w:line="264" w:lineRule="auto"/>
            </w:pPr>
            <w:r>
              <w:rPr>
                <w:rFonts w:ascii="Segoe UI" w:hAnsi="Segoe UI"/>
                <w:color w:val="1E293B"/>
                <w:sz w:val="14"/>
              </w:rPr>
              <w:t>Deduplicated canonical clinical patterns (5–10 per class).</w:t>
            </w:r>
          </w:p>
        </w:tc>
      </w:tr>
      <w:tr w:rsidR="002D7F6C" w14:paraId="35B96D1F" w14:textId="77777777">
        <w:trPr>
          <w:jc w:val="center"/>
        </w:trPr>
        <w:tc>
          <w:tcPr>
            <w:tcW w:w="1393" w:type="dxa"/>
            <w:shd w:val="clear" w:color="auto" w:fill="F8FAFC"/>
            <w:tcMar>
              <w:top w:w="60" w:type="dxa"/>
              <w:left w:w="80" w:type="dxa"/>
              <w:bottom w:w="60" w:type="dxa"/>
              <w:right w:w="80" w:type="dxa"/>
            </w:tcMar>
          </w:tcPr>
          <w:p w14:paraId="36CED835" w14:textId="77777777" w:rsidR="002D7F6C" w:rsidRDefault="00000000">
            <w:pPr>
              <w:spacing w:after="0" w:line="264" w:lineRule="auto"/>
            </w:pPr>
            <w:r>
              <w:rPr>
                <w:rFonts w:ascii="Segoe UI" w:hAnsi="Segoe UI"/>
                <w:b/>
                <w:color w:val="1E293B"/>
                <w:sz w:val="14"/>
              </w:rPr>
              <w:t>WHO Measles</w:t>
            </w:r>
          </w:p>
        </w:tc>
        <w:tc>
          <w:tcPr>
            <w:tcW w:w="1393" w:type="dxa"/>
            <w:shd w:val="clear" w:color="auto" w:fill="F8FAFC"/>
            <w:tcMar>
              <w:top w:w="60" w:type="dxa"/>
              <w:left w:w="80" w:type="dxa"/>
              <w:bottom w:w="60" w:type="dxa"/>
              <w:right w:w="80" w:type="dxa"/>
            </w:tcMar>
          </w:tcPr>
          <w:p w14:paraId="38492F76" w14:textId="77777777" w:rsidR="002D7F6C" w:rsidRDefault="00000000">
            <w:pPr>
              <w:spacing w:after="0" w:line="264" w:lineRule="auto"/>
            </w:pPr>
            <w:r>
              <w:rPr>
                <w:rFonts w:ascii="Consolas" w:hAnsi="Consolas"/>
                <w:color w:val="0284C7"/>
                <w:sz w:val="13"/>
              </w:rPr>
              <w:t>data/raw/measles_who.csv</w:t>
            </w:r>
          </w:p>
        </w:tc>
        <w:tc>
          <w:tcPr>
            <w:tcW w:w="1393" w:type="dxa"/>
            <w:shd w:val="clear" w:color="auto" w:fill="F8FAFC"/>
            <w:tcMar>
              <w:top w:w="60" w:type="dxa"/>
              <w:left w:w="80" w:type="dxa"/>
              <w:bottom w:w="60" w:type="dxa"/>
              <w:right w:w="80" w:type="dxa"/>
            </w:tcMar>
          </w:tcPr>
          <w:p w14:paraId="6AAEA346" w14:textId="77777777" w:rsidR="002D7F6C" w:rsidRDefault="00000000">
            <w:pPr>
              <w:spacing w:after="0" w:line="264" w:lineRule="auto"/>
            </w:pPr>
            <w:r>
              <w:rPr>
                <w:rFonts w:ascii="Segoe UI" w:hAnsi="Segoe UI"/>
                <w:color w:val="1E293B"/>
                <w:sz w:val="14"/>
              </w:rPr>
              <w:t>Global Epidemiology</w:t>
            </w:r>
          </w:p>
        </w:tc>
        <w:tc>
          <w:tcPr>
            <w:tcW w:w="1393" w:type="dxa"/>
            <w:shd w:val="clear" w:color="auto" w:fill="F8FAFC"/>
            <w:tcMar>
              <w:top w:w="60" w:type="dxa"/>
              <w:left w:w="80" w:type="dxa"/>
              <w:bottom w:w="60" w:type="dxa"/>
              <w:right w:w="80" w:type="dxa"/>
            </w:tcMar>
          </w:tcPr>
          <w:p w14:paraId="48BA935D" w14:textId="77777777" w:rsidR="002D7F6C" w:rsidRDefault="00000000">
            <w:pPr>
              <w:spacing w:after="0" w:line="264" w:lineRule="auto"/>
            </w:pPr>
            <w:r>
              <w:rPr>
                <w:rFonts w:ascii="Segoe UI" w:hAnsi="Segoe UI"/>
                <w:color w:val="1E293B"/>
                <w:sz w:val="14"/>
              </w:rPr>
              <w:t>1,692</w:t>
            </w:r>
          </w:p>
        </w:tc>
        <w:tc>
          <w:tcPr>
            <w:tcW w:w="1393" w:type="dxa"/>
            <w:shd w:val="clear" w:color="auto" w:fill="F8FAFC"/>
            <w:tcMar>
              <w:top w:w="60" w:type="dxa"/>
              <w:left w:w="80" w:type="dxa"/>
              <w:bottom w:w="60" w:type="dxa"/>
              <w:right w:w="80" w:type="dxa"/>
            </w:tcMar>
          </w:tcPr>
          <w:p w14:paraId="38B435F2" w14:textId="77777777" w:rsidR="002D7F6C" w:rsidRDefault="00000000">
            <w:pPr>
              <w:spacing w:after="0" w:line="264" w:lineRule="auto"/>
            </w:pPr>
            <w:r>
              <w:rPr>
                <w:rFonts w:ascii="Segoe UI" w:hAnsi="Segoe UI"/>
                <w:color w:val="1E293B"/>
                <w:sz w:val="14"/>
              </w:rPr>
              <w:t>9</w:t>
            </w:r>
          </w:p>
        </w:tc>
        <w:tc>
          <w:tcPr>
            <w:tcW w:w="1393" w:type="dxa"/>
            <w:shd w:val="clear" w:color="auto" w:fill="F8FAFC"/>
            <w:tcMar>
              <w:top w:w="60" w:type="dxa"/>
              <w:left w:w="80" w:type="dxa"/>
              <w:bottom w:w="60" w:type="dxa"/>
              <w:right w:w="80" w:type="dxa"/>
            </w:tcMar>
          </w:tcPr>
          <w:p w14:paraId="7486529D" w14:textId="77777777" w:rsidR="002D7F6C" w:rsidRDefault="00000000">
            <w:pPr>
              <w:spacing w:after="0" w:line="264" w:lineRule="auto"/>
            </w:pPr>
            <w:r>
              <w:rPr>
                <w:rFonts w:ascii="Segoe UI" w:hAnsi="Segoe UI"/>
                <w:color w:val="1E293B"/>
                <w:sz w:val="14"/>
              </w:rPr>
              <w:t>48 countries</w:t>
            </w:r>
          </w:p>
        </w:tc>
        <w:tc>
          <w:tcPr>
            <w:tcW w:w="1393" w:type="dxa"/>
            <w:shd w:val="clear" w:color="auto" w:fill="F8FAFC"/>
            <w:tcMar>
              <w:top w:w="60" w:type="dxa"/>
              <w:left w:w="80" w:type="dxa"/>
              <w:bottom w:w="60" w:type="dxa"/>
              <w:right w:w="80" w:type="dxa"/>
            </w:tcMar>
          </w:tcPr>
          <w:p w14:paraId="601C38BC" w14:textId="77777777" w:rsidR="002D7F6C" w:rsidRDefault="00000000">
            <w:pPr>
              <w:spacing w:after="0" w:line="264" w:lineRule="auto"/>
            </w:pPr>
            <w:r>
              <w:rPr>
                <w:rFonts w:ascii="Segoe UI" w:hAnsi="Segoe UI"/>
                <w:color w:val="1E293B"/>
                <w:sz w:val="14"/>
              </w:rPr>
              <w:t>Annual surveillance (1974–2024); 29,416,642 total cases.</w:t>
            </w:r>
          </w:p>
        </w:tc>
      </w:tr>
      <w:tr w:rsidR="002D7F6C" w14:paraId="5D3C0482" w14:textId="77777777">
        <w:trPr>
          <w:jc w:val="center"/>
        </w:trPr>
        <w:tc>
          <w:tcPr>
            <w:tcW w:w="1393" w:type="dxa"/>
            <w:tcMar>
              <w:top w:w="60" w:type="dxa"/>
              <w:left w:w="80" w:type="dxa"/>
              <w:bottom w:w="60" w:type="dxa"/>
              <w:right w:w="80" w:type="dxa"/>
            </w:tcMar>
          </w:tcPr>
          <w:p w14:paraId="259C1C86" w14:textId="77777777" w:rsidR="002D7F6C" w:rsidRDefault="00000000">
            <w:pPr>
              <w:spacing w:after="0" w:line="264" w:lineRule="auto"/>
            </w:pPr>
            <w:r>
              <w:rPr>
                <w:rFonts w:ascii="Segoe UI" w:hAnsi="Segoe UI"/>
                <w:b/>
                <w:color w:val="1E293B"/>
                <w:sz w:val="14"/>
              </w:rPr>
              <w:t>WHO Yellow Fever</w:t>
            </w:r>
          </w:p>
        </w:tc>
        <w:tc>
          <w:tcPr>
            <w:tcW w:w="1393" w:type="dxa"/>
            <w:tcMar>
              <w:top w:w="60" w:type="dxa"/>
              <w:left w:w="80" w:type="dxa"/>
              <w:bottom w:w="60" w:type="dxa"/>
              <w:right w:w="80" w:type="dxa"/>
            </w:tcMar>
          </w:tcPr>
          <w:p w14:paraId="70FF077C" w14:textId="77777777" w:rsidR="002D7F6C" w:rsidRDefault="00000000">
            <w:pPr>
              <w:spacing w:after="0" w:line="264" w:lineRule="auto"/>
            </w:pPr>
            <w:r>
              <w:rPr>
                <w:rFonts w:ascii="Consolas" w:hAnsi="Consolas"/>
                <w:color w:val="0284C7"/>
                <w:sz w:val="13"/>
              </w:rPr>
              <w:t>data/raw/yellow_fever_who.csv</w:t>
            </w:r>
          </w:p>
        </w:tc>
        <w:tc>
          <w:tcPr>
            <w:tcW w:w="1393" w:type="dxa"/>
            <w:tcMar>
              <w:top w:w="60" w:type="dxa"/>
              <w:left w:w="80" w:type="dxa"/>
              <w:bottom w:w="60" w:type="dxa"/>
              <w:right w:w="80" w:type="dxa"/>
            </w:tcMar>
          </w:tcPr>
          <w:p w14:paraId="02CF12D7" w14:textId="77777777" w:rsidR="002D7F6C" w:rsidRDefault="00000000">
            <w:pPr>
              <w:spacing w:after="0" w:line="264" w:lineRule="auto"/>
            </w:pPr>
            <w:r>
              <w:rPr>
                <w:rFonts w:ascii="Segoe UI" w:hAnsi="Segoe UI"/>
                <w:color w:val="1E293B"/>
                <w:sz w:val="14"/>
              </w:rPr>
              <w:t>Global Epidemiology</w:t>
            </w:r>
          </w:p>
        </w:tc>
        <w:tc>
          <w:tcPr>
            <w:tcW w:w="1393" w:type="dxa"/>
            <w:tcMar>
              <w:top w:w="60" w:type="dxa"/>
              <w:left w:w="80" w:type="dxa"/>
              <w:bottom w:w="60" w:type="dxa"/>
              <w:right w:w="80" w:type="dxa"/>
            </w:tcMar>
          </w:tcPr>
          <w:p w14:paraId="5D128012" w14:textId="77777777" w:rsidR="002D7F6C" w:rsidRDefault="00000000">
            <w:pPr>
              <w:spacing w:after="0" w:line="264" w:lineRule="auto"/>
            </w:pPr>
            <w:r>
              <w:rPr>
                <w:rFonts w:ascii="Segoe UI" w:hAnsi="Segoe UI"/>
                <w:color w:val="1E293B"/>
                <w:sz w:val="14"/>
              </w:rPr>
              <w:t>874</w:t>
            </w:r>
          </w:p>
        </w:tc>
        <w:tc>
          <w:tcPr>
            <w:tcW w:w="1393" w:type="dxa"/>
            <w:tcMar>
              <w:top w:w="60" w:type="dxa"/>
              <w:left w:w="80" w:type="dxa"/>
              <w:bottom w:w="60" w:type="dxa"/>
              <w:right w:w="80" w:type="dxa"/>
            </w:tcMar>
          </w:tcPr>
          <w:p w14:paraId="29C814B3" w14:textId="77777777" w:rsidR="002D7F6C" w:rsidRDefault="00000000">
            <w:pPr>
              <w:spacing w:after="0" w:line="264" w:lineRule="auto"/>
            </w:pPr>
            <w:r>
              <w:rPr>
                <w:rFonts w:ascii="Segoe UI" w:hAnsi="Segoe UI"/>
                <w:color w:val="1E293B"/>
                <w:sz w:val="14"/>
              </w:rPr>
              <w:t>9</w:t>
            </w:r>
          </w:p>
        </w:tc>
        <w:tc>
          <w:tcPr>
            <w:tcW w:w="1393" w:type="dxa"/>
            <w:tcMar>
              <w:top w:w="60" w:type="dxa"/>
              <w:left w:w="80" w:type="dxa"/>
              <w:bottom w:w="60" w:type="dxa"/>
              <w:right w:w="80" w:type="dxa"/>
            </w:tcMar>
          </w:tcPr>
          <w:p w14:paraId="7BCEDF8E" w14:textId="77777777" w:rsidR="002D7F6C" w:rsidRDefault="00000000">
            <w:pPr>
              <w:spacing w:after="0" w:line="264" w:lineRule="auto"/>
            </w:pPr>
            <w:r>
              <w:rPr>
                <w:rFonts w:ascii="Segoe UI" w:hAnsi="Segoe UI"/>
                <w:color w:val="1E293B"/>
                <w:sz w:val="14"/>
              </w:rPr>
              <w:t>47 countries</w:t>
            </w:r>
          </w:p>
        </w:tc>
        <w:tc>
          <w:tcPr>
            <w:tcW w:w="1393" w:type="dxa"/>
            <w:tcMar>
              <w:top w:w="60" w:type="dxa"/>
              <w:left w:w="80" w:type="dxa"/>
              <w:bottom w:w="60" w:type="dxa"/>
              <w:right w:w="80" w:type="dxa"/>
            </w:tcMar>
          </w:tcPr>
          <w:p w14:paraId="4A634432" w14:textId="77777777" w:rsidR="002D7F6C" w:rsidRDefault="00000000">
            <w:pPr>
              <w:spacing w:after="0" w:line="264" w:lineRule="auto"/>
            </w:pPr>
            <w:r>
              <w:rPr>
                <w:rFonts w:ascii="Segoe UI" w:hAnsi="Segoe UI"/>
                <w:color w:val="1E293B"/>
                <w:sz w:val="14"/>
              </w:rPr>
              <w:t>Annual surveillance (1974–2024); 35,987 total cases.</w:t>
            </w:r>
          </w:p>
        </w:tc>
      </w:tr>
      <w:tr w:rsidR="002D7F6C" w14:paraId="01FE6546" w14:textId="77777777">
        <w:trPr>
          <w:jc w:val="center"/>
        </w:trPr>
        <w:tc>
          <w:tcPr>
            <w:tcW w:w="1393" w:type="dxa"/>
            <w:shd w:val="clear" w:color="auto" w:fill="F8FAFC"/>
            <w:tcMar>
              <w:top w:w="60" w:type="dxa"/>
              <w:left w:w="80" w:type="dxa"/>
              <w:bottom w:w="60" w:type="dxa"/>
              <w:right w:w="80" w:type="dxa"/>
            </w:tcMar>
          </w:tcPr>
          <w:p w14:paraId="6285E0F7" w14:textId="77777777" w:rsidR="002D7F6C" w:rsidRDefault="00000000">
            <w:pPr>
              <w:spacing w:after="0" w:line="264" w:lineRule="auto"/>
            </w:pPr>
            <w:r>
              <w:rPr>
                <w:rFonts w:ascii="Segoe UI" w:hAnsi="Segoe UI"/>
                <w:b/>
                <w:color w:val="1E293B"/>
                <w:sz w:val="14"/>
              </w:rPr>
              <w:t>WHO Cholera 2012</w:t>
            </w:r>
          </w:p>
        </w:tc>
        <w:tc>
          <w:tcPr>
            <w:tcW w:w="1393" w:type="dxa"/>
            <w:shd w:val="clear" w:color="auto" w:fill="F8FAFC"/>
            <w:tcMar>
              <w:top w:w="60" w:type="dxa"/>
              <w:left w:w="80" w:type="dxa"/>
              <w:bottom w:w="60" w:type="dxa"/>
              <w:right w:w="80" w:type="dxa"/>
            </w:tcMar>
          </w:tcPr>
          <w:p w14:paraId="45145998" w14:textId="77777777" w:rsidR="002D7F6C" w:rsidRDefault="00000000">
            <w:pPr>
              <w:spacing w:after="0" w:line="264" w:lineRule="auto"/>
            </w:pPr>
            <w:r>
              <w:rPr>
                <w:rFonts w:ascii="Consolas" w:hAnsi="Consolas"/>
                <w:color w:val="0284C7"/>
                <w:sz w:val="13"/>
              </w:rPr>
              <w:t>data/processed/cholera_2012_long.csv</w:t>
            </w:r>
          </w:p>
        </w:tc>
        <w:tc>
          <w:tcPr>
            <w:tcW w:w="1393" w:type="dxa"/>
            <w:shd w:val="clear" w:color="auto" w:fill="F8FAFC"/>
            <w:tcMar>
              <w:top w:w="60" w:type="dxa"/>
              <w:left w:w="80" w:type="dxa"/>
              <w:bottom w:w="60" w:type="dxa"/>
              <w:right w:w="80" w:type="dxa"/>
            </w:tcMar>
          </w:tcPr>
          <w:p w14:paraId="38BDEB58" w14:textId="77777777" w:rsidR="002D7F6C" w:rsidRDefault="00000000">
            <w:pPr>
              <w:spacing w:after="0" w:line="264" w:lineRule="auto"/>
            </w:pPr>
            <w:r>
              <w:rPr>
                <w:rFonts w:ascii="Segoe UI" w:hAnsi="Segoe UI"/>
                <w:color w:val="1E293B"/>
                <w:sz w:val="14"/>
              </w:rPr>
              <w:t>Outbreak Surveillance</w:t>
            </w:r>
          </w:p>
        </w:tc>
        <w:tc>
          <w:tcPr>
            <w:tcW w:w="1393" w:type="dxa"/>
            <w:shd w:val="clear" w:color="auto" w:fill="F8FAFC"/>
            <w:tcMar>
              <w:top w:w="60" w:type="dxa"/>
              <w:left w:w="80" w:type="dxa"/>
              <w:bottom w:w="60" w:type="dxa"/>
              <w:right w:w="80" w:type="dxa"/>
            </w:tcMar>
          </w:tcPr>
          <w:p w14:paraId="68FA619D" w14:textId="77777777" w:rsidR="002D7F6C" w:rsidRDefault="00000000">
            <w:pPr>
              <w:spacing w:after="0" w:line="264" w:lineRule="auto"/>
            </w:pPr>
            <w:r>
              <w:rPr>
                <w:rFonts w:ascii="Segoe UI" w:hAnsi="Segoe UI"/>
                <w:color w:val="1E293B"/>
                <w:sz w:val="14"/>
              </w:rPr>
              <w:t>988</w:t>
            </w:r>
          </w:p>
        </w:tc>
        <w:tc>
          <w:tcPr>
            <w:tcW w:w="1393" w:type="dxa"/>
            <w:shd w:val="clear" w:color="auto" w:fill="F8FAFC"/>
            <w:tcMar>
              <w:top w:w="60" w:type="dxa"/>
              <w:left w:w="80" w:type="dxa"/>
              <w:bottom w:w="60" w:type="dxa"/>
              <w:right w:w="80" w:type="dxa"/>
            </w:tcMar>
          </w:tcPr>
          <w:p w14:paraId="687FAB49" w14:textId="77777777" w:rsidR="002D7F6C" w:rsidRDefault="00000000">
            <w:pPr>
              <w:spacing w:after="0" w:line="264" w:lineRule="auto"/>
            </w:pPr>
            <w:r>
              <w:rPr>
                <w:rFonts w:ascii="Segoe UI" w:hAnsi="Segoe UI"/>
                <w:color w:val="1E293B"/>
                <w:sz w:val="14"/>
              </w:rPr>
              <w:t>4</w:t>
            </w:r>
          </w:p>
        </w:tc>
        <w:tc>
          <w:tcPr>
            <w:tcW w:w="1393" w:type="dxa"/>
            <w:shd w:val="clear" w:color="auto" w:fill="F8FAFC"/>
            <w:tcMar>
              <w:top w:w="60" w:type="dxa"/>
              <w:left w:w="80" w:type="dxa"/>
              <w:bottom w:w="60" w:type="dxa"/>
              <w:right w:w="80" w:type="dxa"/>
            </w:tcMar>
          </w:tcPr>
          <w:p w14:paraId="04DAF4E7" w14:textId="77777777" w:rsidR="002D7F6C" w:rsidRDefault="00000000">
            <w:pPr>
              <w:spacing w:after="0" w:line="264" w:lineRule="auto"/>
            </w:pPr>
            <w:r>
              <w:rPr>
                <w:rFonts w:ascii="Segoe UI" w:hAnsi="Segoe UI"/>
                <w:color w:val="1E293B"/>
                <w:sz w:val="14"/>
              </w:rPr>
              <w:t>19 countries</w:t>
            </w:r>
          </w:p>
        </w:tc>
        <w:tc>
          <w:tcPr>
            <w:tcW w:w="1393" w:type="dxa"/>
            <w:shd w:val="clear" w:color="auto" w:fill="F8FAFC"/>
            <w:tcMar>
              <w:top w:w="60" w:type="dxa"/>
              <w:left w:w="80" w:type="dxa"/>
              <w:bottom w:w="60" w:type="dxa"/>
              <w:right w:w="80" w:type="dxa"/>
            </w:tcMar>
          </w:tcPr>
          <w:p w14:paraId="5EF1EC2D" w14:textId="77777777" w:rsidR="002D7F6C" w:rsidRDefault="00000000">
            <w:pPr>
              <w:spacing w:after="0" w:line="264" w:lineRule="auto"/>
            </w:pPr>
            <w:r>
              <w:rPr>
                <w:rFonts w:ascii="Segoe UI" w:hAnsi="Segoe UI"/>
                <w:color w:val="1E293B"/>
                <w:sz w:val="14"/>
              </w:rPr>
              <w:t>Normalized long format across 52 epidemiological weeks.</w:t>
            </w:r>
          </w:p>
        </w:tc>
      </w:tr>
      <w:tr w:rsidR="002D7F6C" w14:paraId="60151CCB" w14:textId="77777777">
        <w:trPr>
          <w:jc w:val="center"/>
        </w:trPr>
        <w:tc>
          <w:tcPr>
            <w:tcW w:w="1393" w:type="dxa"/>
            <w:tcMar>
              <w:top w:w="60" w:type="dxa"/>
              <w:left w:w="80" w:type="dxa"/>
              <w:bottom w:w="60" w:type="dxa"/>
              <w:right w:w="80" w:type="dxa"/>
            </w:tcMar>
          </w:tcPr>
          <w:p w14:paraId="177FE9A0" w14:textId="77777777" w:rsidR="002D7F6C" w:rsidRDefault="00000000">
            <w:pPr>
              <w:spacing w:after="0" w:line="264" w:lineRule="auto"/>
            </w:pPr>
            <w:r>
              <w:rPr>
                <w:rFonts w:ascii="Segoe UI" w:hAnsi="Segoe UI"/>
                <w:b/>
                <w:color w:val="1E293B"/>
                <w:sz w:val="14"/>
              </w:rPr>
              <w:t>WHO Cholera 2013</w:t>
            </w:r>
          </w:p>
        </w:tc>
        <w:tc>
          <w:tcPr>
            <w:tcW w:w="1393" w:type="dxa"/>
            <w:tcMar>
              <w:top w:w="60" w:type="dxa"/>
              <w:left w:w="80" w:type="dxa"/>
              <w:bottom w:w="60" w:type="dxa"/>
              <w:right w:w="80" w:type="dxa"/>
            </w:tcMar>
          </w:tcPr>
          <w:p w14:paraId="213265A3" w14:textId="77777777" w:rsidR="002D7F6C" w:rsidRDefault="00000000">
            <w:pPr>
              <w:spacing w:after="0" w:line="264" w:lineRule="auto"/>
            </w:pPr>
            <w:r>
              <w:rPr>
                <w:rFonts w:ascii="Consolas" w:hAnsi="Consolas"/>
                <w:color w:val="0284C7"/>
                <w:sz w:val="13"/>
              </w:rPr>
              <w:t>data/processed/cholera_2013_long.csv</w:t>
            </w:r>
          </w:p>
        </w:tc>
        <w:tc>
          <w:tcPr>
            <w:tcW w:w="1393" w:type="dxa"/>
            <w:tcMar>
              <w:top w:w="60" w:type="dxa"/>
              <w:left w:w="80" w:type="dxa"/>
              <w:bottom w:w="60" w:type="dxa"/>
              <w:right w:w="80" w:type="dxa"/>
            </w:tcMar>
          </w:tcPr>
          <w:p w14:paraId="2571E5C6" w14:textId="77777777" w:rsidR="002D7F6C" w:rsidRDefault="00000000">
            <w:pPr>
              <w:spacing w:after="0" w:line="264" w:lineRule="auto"/>
            </w:pPr>
            <w:r>
              <w:rPr>
                <w:rFonts w:ascii="Segoe UI" w:hAnsi="Segoe UI"/>
                <w:color w:val="1E293B"/>
                <w:sz w:val="14"/>
              </w:rPr>
              <w:t>Outbreak Surveillance</w:t>
            </w:r>
          </w:p>
        </w:tc>
        <w:tc>
          <w:tcPr>
            <w:tcW w:w="1393" w:type="dxa"/>
            <w:tcMar>
              <w:top w:w="60" w:type="dxa"/>
              <w:left w:w="80" w:type="dxa"/>
              <w:bottom w:w="60" w:type="dxa"/>
              <w:right w:w="80" w:type="dxa"/>
            </w:tcMar>
          </w:tcPr>
          <w:p w14:paraId="1D88A251" w14:textId="77777777" w:rsidR="002D7F6C" w:rsidRDefault="00000000">
            <w:pPr>
              <w:spacing w:after="0" w:line="264" w:lineRule="auto"/>
            </w:pPr>
            <w:r>
              <w:rPr>
                <w:rFonts w:ascii="Segoe UI" w:hAnsi="Segoe UI"/>
                <w:color w:val="1E293B"/>
                <w:sz w:val="14"/>
              </w:rPr>
              <w:t>936</w:t>
            </w:r>
          </w:p>
        </w:tc>
        <w:tc>
          <w:tcPr>
            <w:tcW w:w="1393" w:type="dxa"/>
            <w:tcMar>
              <w:top w:w="60" w:type="dxa"/>
              <w:left w:w="80" w:type="dxa"/>
              <w:bottom w:w="60" w:type="dxa"/>
              <w:right w:w="80" w:type="dxa"/>
            </w:tcMar>
          </w:tcPr>
          <w:p w14:paraId="1DC7B88C" w14:textId="77777777" w:rsidR="002D7F6C" w:rsidRDefault="00000000">
            <w:pPr>
              <w:spacing w:after="0" w:line="264" w:lineRule="auto"/>
            </w:pPr>
            <w:r>
              <w:rPr>
                <w:rFonts w:ascii="Segoe UI" w:hAnsi="Segoe UI"/>
                <w:color w:val="1E293B"/>
                <w:sz w:val="14"/>
              </w:rPr>
              <w:t>4</w:t>
            </w:r>
          </w:p>
        </w:tc>
        <w:tc>
          <w:tcPr>
            <w:tcW w:w="1393" w:type="dxa"/>
            <w:tcMar>
              <w:top w:w="60" w:type="dxa"/>
              <w:left w:w="80" w:type="dxa"/>
              <w:bottom w:w="60" w:type="dxa"/>
              <w:right w:w="80" w:type="dxa"/>
            </w:tcMar>
          </w:tcPr>
          <w:p w14:paraId="11FF9267" w14:textId="77777777" w:rsidR="002D7F6C" w:rsidRDefault="00000000">
            <w:pPr>
              <w:spacing w:after="0" w:line="264" w:lineRule="auto"/>
            </w:pPr>
            <w:r>
              <w:rPr>
                <w:rFonts w:ascii="Segoe UI" w:hAnsi="Segoe UI"/>
                <w:color w:val="1E293B"/>
                <w:sz w:val="14"/>
              </w:rPr>
              <w:t>18 countries</w:t>
            </w:r>
          </w:p>
        </w:tc>
        <w:tc>
          <w:tcPr>
            <w:tcW w:w="1393" w:type="dxa"/>
            <w:tcMar>
              <w:top w:w="60" w:type="dxa"/>
              <w:left w:w="80" w:type="dxa"/>
              <w:bottom w:w="60" w:type="dxa"/>
              <w:right w:w="80" w:type="dxa"/>
            </w:tcMar>
          </w:tcPr>
          <w:p w14:paraId="14A02E18" w14:textId="77777777" w:rsidR="002D7F6C" w:rsidRDefault="00000000">
            <w:pPr>
              <w:spacing w:after="0" w:line="264" w:lineRule="auto"/>
            </w:pPr>
            <w:r>
              <w:rPr>
                <w:rFonts w:ascii="Segoe UI" w:hAnsi="Segoe UI"/>
                <w:color w:val="1E293B"/>
                <w:sz w:val="14"/>
              </w:rPr>
              <w:t>Normalized long format across 52 epidemiological weeks.</w:t>
            </w:r>
          </w:p>
        </w:tc>
      </w:tr>
      <w:tr w:rsidR="002D7F6C" w14:paraId="2F50001A" w14:textId="77777777">
        <w:trPr>
          <w:jc w:val="center"/>
        </w:trPr>
        <w:tc>
          <w:tcPr>
            <w:tcW w:w="1393" w:type="dxa"/>
            <w:shd w:val="clear" w:color="auto" w:fill="F8FAFC"/>
            <w:tcMar>
              <w:top w:w="60" w:type="dxa"/>
              <w:left w:w="80" w:type="dxa"/>
              <w:bottom w:w="60" w:type="dxa"/>
              <w:right w:w="80" w:type="dxa"/>
            </w:tcMar>
          </w:tcPr>
          <w:p w14:paraId="24FE7BED" w14:textId="77777777" w:rsidR="002D7F6C" w:rsidRDefault="00000000">
            <w:pPr>
              <w:spacing w:after="0" w:line="264" w:lineRule="auto"/>
            </w:pPr>
            <w:r>
              <w:rPr>
                <w:rFonts w:ascii="Segoe UI" w:hAnsi="Segoe UI"/>
                <w:b/>
                <w:color w:val="1E293B"/>
                <w:sz w:val="14"/>
              </w:rPr>
              <w:t>WHO Cholera 2014</w:t>
            </w:r>
          </w:p>
        </w:tc>
        <w:tc>
          <w:tcPr>
            <w:tcW w:w="1393" w:type="dxa"/>
            <w:shd w:val="clear" w:color="auto" w:fill="F8FAFC"/>
            <w:tcMar>
              <w:top w:w="60" w:type="dxa"/>
              <w:left w:w="80" w:type="dxa"/>
              <w:bottom w:w="60" w:type="dxa"/>
              <w:right w:w="80" w:type="dxa"/>
            </w:tcMar>
          </w:tcPr>
          <w:p w14:paraId="51E50751" w14:textId="77777777" w:rsidR="002D7F6C" w:rsidRDefault="00000000">
            <w:pPr>
              <w:spacing w:after="0" w:line="264" w:lineRule="auto"/>
            </w:pPr>
            <w:r>
              <w:rPr>
                <w:rFonts w:ascii="Consolas" w:hAnsi="Consolas"/>
                <w:color w:val="0284C7"/>
                <w:sz w:val="13"/>
              </w:rPr>
              <w:t>data/processed/cholera_2014_long.csv</w:t>
            </w:r>
          </w:p>
        </w:tc>
        <w:tc>
          <w:tcPr>
            <w:tcW w:w="1393" w:type="dxa"/>
            <w:shd w:val="clear" w:color="auto" w:fill="F8FAFC"/>
            <w:tcMar>
              <w:top w:w="60" w:type="dxa"/>
              <w:left w:w="80" w:type="dxa"/>
              <w:bottom w:w="60" w:type="dxa"/>
              <w:right w:w="80" w:type="dxa"/>
            </w:tcMar>
          </w:tcPr>
          <w:p w14:paraId="5A568E8F" w14:textId="77777777" w:rsidR="002D7F6C" w:rsidRDefault="00000000">
            <w:pPr>
              <w:spacing w:after="0" w:line="264" w:lineRule="auto"/>
            </w:pPr>
            <w:r>
              <w:rPr>
                <w:rFonts w:ascii="Segoe UI" w:hAnsi="Segoe UI"/>
                <w:color w:val="1E293B"/>
                <w:sz w:val="14"/>
              </w:rPr>
              <w:t>Outbreak Surveillance</w:t>
            </w:r>
          </w:p>
        </w:tc>
        <w:tc>
          <w:tcPr>
            <w:tcW w:w="1393" w:type="dxa"/>
            <w:shd w:val="clear" w:color="auto" w:fill="F8FAFC"/>
            <w:tcMar>
              <w:top w:w="60" w:type="dxa"/>
              <w:left w:w="80" w:type="dxa"/>
              <w:bottom w:w="60" w:type="dxa"/>
              <w:right w:w="80" w:type="dxa"/>
            </w:tcMar>
          </w:tcPr>
          <w:p w14:paraId="45A7DF83" w14:textId="77777777" w:rsidR="002D7F6C" w:rsidRDefault="00000000">
            <w:pPr>
              <w:spacing w:after="0" w:line="264" w:lineRule="auto"/>
            </w:pPr>
            <w:r>
              <w:rPr>
                <w:rFonts w:ascii="Segoe UI" w:hAnsi="Segoe UI"/>
                <w:color w:val="1E293B"/>
                <w:sz w:val="14"/>
              </w:rPr>
              <w:t>936</w:t>
            </w:r>
          </w:p>
        </w:tc>
        <w:tc>
          <w:tcPr>
            <w:tcW w:w="1393" w:type="dxa"/>
            <w:shd w:val="clear" w:color="auto" w:fill="F8FAFC"/>
            <w:tcMar>
              <w:top w:w="60" w:type="dxa"/>
              <w:left w:w="80" w:type="dxa"/>
              <w:bottom w:w="60" w:type="dxa"/>
              <w:right w:w="80" w:type="dxa"/>
            </w:tcMar>
          </w:tcPr>
          <w:p w14:paraId="54367D14" w14:textId="77777777" w:rsidR="002D7F6C" w:rsidRDefault="00000000">
            <w:pPr>
              <w:spacing w:after="0" w:line="264" w:lineRule="auto"/>
            </w:pPr>
            <w:r>
              <w:rPr>
                <w:rFonts w:ascii="Segoe UI" w:hAnsi="Segoe UI"/>
                <w:color w:val="1E293B"/>
                <w:sz w:val="14"/>
              </w:rPr>
              <w:t>4</w:t>
            </w:r>
          </w:p>
        </w:tc>
        <w:tc>
          <w:tcPr>
            <w:tcW w:w="1393" w:type="dxa"/>
            <w:shd w:val="clear" w:color="auto" w:fill="F8FAFC"/>
            <w:tcMar>
              <w:top w:w="60" w:type="dxa"/>
              <w:left w:w="80" w:type="dxa"/>
              <w:bottom w:w="60" w:type="dxa"/>
              <w:right w:w="80" w:type="dxa"/>
            </w:tcMar>
          </w:tcPr>
          <w:p w14:paraId="496955F6" w14:textId="77777777" w:rsidR="002D7F6C" w:rsidRDefault="00000000">
            <w:pPr>
              <w:spacing w:after="0" w:line="264" w:lineRule="auto"/>
            </w:pPr>
            <w:r>
              <w:rPr>
                <w:rFonts w:ascii="Segoe UI" w:hAnsi="Segoe UI"/>
                <w:color w:val="1E293B"/>
                <w:sz w:val="14"/>
              </w:rPr>
              <w:t>18 countries</w:t>
            </w:r>
          </w:p>
        </w:tc>
        <w:tc>
          <w:tcPr>
            <w:tcW w:w="1393" w:type="dxa"/>
            <w:shd w:val="clear" w:color="auto" w:fill="F8FAFC"/>
            <w:tcMar>
              <w:top w:w="60" w:type="dxa"/>
              <w:left w:w="80" w:type="dxa"/>
              <w:bottom w:w="60" w:type="dxa"/>
              <w:right w:w="80" w:type="dxa"/>
            </w:tcMar>
          </w:tcPr>
          <w:p w14:paraId="69139535" w14:textId="77777777" w:rsidR="002D7F6C" w:rsidRDefault="00000000">
            <w:pPr>
              <w:spacing w:after="0" w:line="264" w:lineRule="auto"/>
            </w:pPr>
            <w:r>
              <w:rPr>
                <w:rFonts w:ascii="Segoe UI" w:hAnsi="Segoe UI"/>
                <w:color w:val="1E293B"/>
                <w:sz w:val="14"/>
              </w:rPr>
              <w:t>Normalized long format across 52 epidemiological weeks.</w:t>
            </w:r>
          </w:p>
        </w:tc>
      </w:tr>
      <w:tr w:rsidR="002D7F6C" w14:paraId="03BE2B8B" w14:textId="77777777">
        <w:trPr>
          <w:jc w:val="center"/>
        </w:trPr>
        <w:tc>
          <w:tcPr>
            <w:tcW w:w="1393" w:type="dxa"/>
            <w:tcMar>
              <w:top w:w="60" w:type="dxa"/>
              <w:left w:w="80" w:type="dxa"/>
              <w:bottom w:w="60" w:type="dxa"/>
              <w:right w:w="80" w:type="dxa"/>
            </w:tcMar>
          </w:tcPr>
          <w:p w14:paraId="2B20A3DD" w14:textId="77777777" w:rsidR="002D7F6C" w:rsidRDefault="00000000">
            <w:pPr>
              <w:spacing w:after="0" w:line="264" w:lineRule="auto"/>
            </w:pPr>
            <w:r>
              <w:rPr>
                <w:rFonts w:ascii="Segoe UI" w:hAnsi="Segoe UI"/>
                <w:b/>
                <w:color w:val="1E293B"/>
                <w:sz w:val="14"/>
              </w:rPr>
              <w:t>Harmonized Epidemiology</w:t>
            </w:r>
          </w:p>
        </w:tc>
        <w:tc>
          <w:tcPr>
            <w:tcW w:w="1393" w:type="dxa"/>
            <w:tcMar>
              <w:top w:w="60" w:type="dxa"/>
              <w:left w:w="80" w:type="dxa"/>
              <w:bottom w:w="60" w:type="dxa"/>
              <w:right w:w="80" w:type="dxa"/>
            </w:tcMar>
          </w:tcPr>
          <w:p w14:paraId="1E3B1487" w14:textId="77777777" w:rsidR="002D7F6C" w:rsidRDefault="00000000">
            <w:pPr>
              <w:spacing w:after="0" w:line="264" w:lineRule="auto"/>
            </w:pPr>
            <w:r>
              <w:rPr>
                <w:rFonts w:ascii="Consolas" w:hAnsi="Consolas"/>
                <w:color w:val="0284C7"/>
                <w:sz w:val="13"/>
              </w:rPr>
              <w:t>data/processed/epidemiological_trends.csv</w:t>
            </w:r>
          </w:p>
        </w:tc>
        <w:tc>
          <w:tcPr>
            <w:tcW w:w="1393" w:type="dxa"/>
            <w:tcMar>
              <w:top w:w="60" w:type="dxa"/>
              <w:left w:w="80" w:type="dxa"/>
              <w:bottom w:w="60" w:type="dxa"/>
              <w:right w:w="80" w:type="dxa"/>
            </w:tcMar>
          </w:tcPr>
          <w:p w14:paraId="5B8F3E35" w14:textId="77777777" w:rsidR="002D7F6C" w:rsidRDefault="00000000">
            <w:pPr>
              <w:spacing w:after="0" w:line="264" w:lineRule="auto"/>
            </w:pPr>
            <w:r>
              <w:rPr>
                <w:rFonts w:ascii="Segoe UI" w:hAnsi="Segoe UI"/>
                <w:color w:val="1E293B"/>
                <w:sz w:val="14"/>
              </w:rPr>
              <w:t>Longitudinal Series</w:t>
            </w:r>
          </w:p>
        </w:tc>
        <w:tc>
          <w:tcPr>
            <w:tcW w:w="1393" w:type="dxa"/>
            <w:tcMar>
              <w:top w:w="60" w:type="dxa"/>
              <w:left w:w="80" w:type="dxa"/>
              <w:bottom w:w="60" w:type="dxa"/>
              <w:right w:w="80" w:type="dxa"/>
            </w:tcMar>
          </w:tcPr>
          <w:p w14:paraId="215255D1" w14:textId="77777777" w:rsidR="002D7F6C" w:rsidRDefault="00000000">
            <w:pPr>
              <w:spacing w:after="0" w:line="264" w:lineRule="auto"/>
            </w:pPr>
            <w:r>
              <w:rPr>
                <w:rFonts w:ascii="Segoe UI" w:hAnsi="Segoe UI"/>
                <w:color w:val="1E293B"/>
                <w:sz w:val="14"/>
              </w:rPr>
              <w:t>5,426</w:t>
            </w:r>
          </w:p>
        </w:tc>
        <w:tc>
          <w:tcPr>
            <w:tcW w:w="1393" w:type="dxa"/>
            <w:tcMar>
              <w:top w:w="60" w:type="dxa"/>
              <w:left w:w="80" w:type="dxa"/>
              <w:bottom w:w="60" w:type="dxa"/>
              <w:right w:w="80" w:type="dxa"/>
            </w:tcMar>
          </w:tcPr>
          <w:p w14:paraId="6EB2EF3E" w14:textId="77777777" w:rsidR="002D7F6C" w:rsidRDefault="00000000">
            <w:pPr>
              <w:spacing w:after="0" w:line="264" w:lineRule="auto"/>
            </w:pPr>
            <w:r>
              <w:rPr>
                <w:rFonts w:ascii="Segoe UI" w:hAnsi="Segoe UI"/>
                <w:color w:val="1E293B"/>
                <w:sz w:val="14"/>
              </w:rPr>
              <w:t>11</w:t>
            </w:r>
          </w:p>
        </w:tc>
        <w:tc>
          <w:tcPr>
            <w:tcW w:w="1393" w:type="dxa"/>
            <w:tcMar>
              <w:top w:w="60" w:type="dxa"/>
              <w:left w:w="80" w:type="dxa"/>
              <w:bottom w:w="60" w:type="dxa"/>
              <w:right w:w="80" w:type="dxa"/>
            </w:tcMar>
          </w:tcPr>
          <w:p w14:paraId="6190FFD4" w14:textId="77777777" w:rsidR="002D7F6C" w:rsidRDefault="00000000">
            <w:pPr>
              <w:spacing w:after="0" w:line="264" w:lineRule="auto"/>
            </w:pPr>
            <w:r>
              <w:rPr>
                <w:rFonts w:ascii="Segoe UI" w:hAnsi="Segoe UI"/>
                <w:color w:val="1E293B"/>
                <w:sz w:val="14"/>
              </w:rPr>
              <w:t>3 diseases</w:t>
            </w:r>
          </w:p>
        </w:tc>
        <w:tc>
          <w:tcPr>
            <w:tcW w:w="1393" w:type="dxa"/>
            <w:tcMar>
              <w:top w:w="60" w:type="dxa"/>
              <w:left w:w="80" w:type="dxa"/>
              <w:bottom w:w="60" w:type="dxa"/>
              <w:right w:w="80" w:type="dxa"/>
            </w:tcMar>
          </w:tcPr>
          <w:p w14:paraId="12B34DD9" w14:textId="77777777" w:rsidR="002D7F6C" w:rsidRDefault="00000000">
            <w:pPr>
              <w:spacing w:after="0" w:line="264" w:lineRule="auto"/>
            </w:pPr>
            <w:r>
              <w:rPr>
                <w:rFonts w:ascii="Segoe UI" w:hAnsi="Segoe UI"/>
                <w:color w:val="1E293B"/>
                <w:sz w:val="14"/>
              </w:rPr>
              <w:t>Unified schema with rolling Z-score anomaly surge flags.</w:t>
            </w:r>
          </w:p>
        </w:tc>
      </w:tr>
      <w:tr w:rsidR="002D7F6C" w14:paraId="120EBA92" w14:textId="77777777">
        <w:trPr>
          <w:jc w:val="center"/>
        </w:trPr>
        <w:tc>
          <w:tcPr>
            <w:tcW w:w="1393" w:type="dxa"/>
            <w:shd w:val="clear" w:color="auto" w:fill="F8FAFC"/>
            <w:tcMar>
              <w:top w:w="60" w:type="dxa"/>
              <w:left w:w="80" w:type="dxa"/>
              <w:bottom w:w="60" w:type="dxa"/>
              <w:right w:w="80" w:type="dxa"/>
            </w:tcMar>
          </w:tcPr>
          <w:p w14:paraId="31991F55" w14:textId="77777777" w:rsidR="002D7F6C" w:rsidRDefault="00000000">
            <w:pPr>
              <w:spacing w:after="0" w:line="264" w:lineRule="auto"/>
            </w:pPr>
            <w:r>
              <w:rPr>
                <w:rFonts w:ascii="Segoe UI" w:hAnsi="Segoe UI"/>
                <w:b/>
                <w:color w:val="1E293B"/>
                <w:sz w:val="14"/>
              </w:rPr>
              <w:t>Open Targets Associations</w:t>
            </w:r>
          </w:p>
        </w:tc>
        <w:tc>
          <w:tcPr>
            <w:tcW w:w="1393" w:type="dxa"/>
            <w:shd w:val="clear" w:color="auto" w:fill="F8FAFC"/>
            <w:tcMar>
              <w:top w:w="60" w:type="dxa"/>
              <w:left w:w="80" w:type="dxa"/>
              <w:bottom w:w="60" w:type="dxa"/>
              <w:right w:w="80" w:type="dxa"/>
            </w:tcMar>
          </w:tcPr>
          <w:p w14:paraId="5A53BD52" w14:textId="77777777" w:rsidR="002D7F6C" w:rsidRDefault="00000000">
            <w:pPr>
              <w:spacing w:after="0" w:line="264" w:lineRule="auto"/>
            </w:pPr>
            <w:r>
              <w:rPr>
                <w:rFonts w:ascii="Consolas" w:hAnsi="Consolas"/>
                <w:color w:val="0284C7"/>
                <w:sz w:val="13"/>
              </w:rPr>
              <w:t>data/raw/therapeutic_associations.csv</w:t>
            </w:r>
          </w:p>
        </w:tc>
        <w:tc>
          <w:tcPr>
            <w:tcW w:w="1393" w:type="dxa"/>
            <w:shd w:val="clear" w:color="auto" w:fill="F8FAFC"/>
            <w:tcMar>
              <w:top w:w="60" w:type="dxa"/>
              <w:left w:w="80" w:type="dxa"/>
              <w:bottom w:w="60" w:type="dxa"/>
              <w:right w:w="80" w:type="dxa"/>
            </w:tcMar>
          </w:tcPr>
          <w:p w14:paraId="5992CA87" w14:textId="77777777" w:rsidR="002D7F6C" w:rsidRDefault="00000000">
            <w:pPr>
              <w:spacing w:after="0" w:line="264" w:lineRule="auto"/>
            </w:pPr>
            <w:r>
              <w:rPr>
                <w:rFonts w:ascii="Segoe UI" w:hAnsi="Segoe UI"/>
                <w:color w:val="1E293B"/>
                <w:sz w:val="14"/>
              </w:rPr>
              <w:t>Target Genomics</w:t>
            </w:r>
          </w:p>
        </w:tc>
        <w:tc>
          <w:tcPr>
            <w:tcW w:w="1393" w:type="dxa"/>
            <w:shd w:val="clear" w:color="auto" w:fill="F8FAFC"/>
            <w:tcMar>
              <w:top w:w="60" w:type="dxa"/>
              <w:left w:w="80" w:type="dxa"/>
              <w:bottom w:w="60" w:type="dxa"/>
              <w:right w:w="80" w:type="dxa"/>
            </w:tcMar>
          </w:tcPr>
          <w:p w14:paraId="6F7091C7" w14:textId="77777777" w:rsidR="002D7F6C" w:rsidRDefault="00000000">
            <w:pPr>
              <w:spacing w:after="0" w:line="264" w:lineRule="auto"/>
            </w:pPr>
            <w:r>
              <w:rPr>
                <w:rFonts w:ascii="Segoe UI" w:hAnsi="Segoe UI"/>
                <w:color w:val="1E293B"/>
                <w:sz w:val="14"/>
              </w:rPr>
              <w:t>3,636</w:t>
            </w:r>
          </w:p>
        </w:tc>
        <w:tc>
          <w:tcPr>
            <w:tcW w:w="1393" w:type="dxa"/>
            <w:shd w:val="clear" w:color="auto" w:fill="F8FAFC"/>
            <w:tcMar>
              <w:top w:w="60" w:type="dxa"/>
              <w:left w:w="80" w:type="dxa"/>
              <w:bottom w:w="60" w:type="dxa"/>
              <w:right w:w="80" w:type="dxa"/>
            </w:tcMar>
          </w:tcPr>
          <w:p w14:paraId="4C957F58" w14:textId="77777777" w:rsidR="002D7F6C" w:rsidRDefault="00000000">
            <w:pPr>
              <w:spacing w:after="0" w:line="264" w:lineRule="auto"/>
            </w:pPr>
            <w:r>
              <w:rPr>
                <w:rFonts w:ascii="Segoe UI" w:hAnsi="Segoe UI"/>
                <w:color w:val="1E293B"/>
                <w:sz w:val="14"/>
              </w:rPr>
              <w:t>7</w:t>
            </w:r>
          </w:p>
        </w:tc>
        <w:tc>
          <w:tcPr>
            <w:tcW w:w="1393" w:type="dxa"/>
            <w:shd w:val="clear" w:color="auto" w:fill="F8FAFC"/>
            <w:tcMar>
              <w:top w:w="60" w:type="dxa"/>
              <w:left w:w="80" w:type="dxa"/>
              <w:bottom w:w="60" w:type="dxa"/>
              <w:right w:w="80" w:type="dxa"/>
            </w:tcMar>
          </w:tcPr>
          <w:p w14:paraId="1E433D25" w14:textId="77777777" w:rsidR="002D7F6C" w:rsidRDefault="00000000">
            <w:pPr>
              <w:spacing w:after="0" w:line="264" w:lineRule="auto"/>
            </w:pPr>
            <w:r>
              <w:rPr>
                <w:rFonts w:ascii="Segoe UI" w:hAnsi="Segoe UI"/>
                <w:color w:val="1E293B"/>
                <w:sz w:val="14"/>
              </w:rPr>
              <w:t>38 diseases</w:t>
            </w:r>
          </w:p>
        </w:tc>
        <w:tc>
          <w:tcPr>
            <w:tcW w:w="1393" w:type="dxa"/>
            <w:shd w:val="clear" w:color="auto" w:fill="F8FAFC"/>
            <w:tcMar>
              <w:top w:w="60" w:type="dxa"/>
              <w:left w:w="80" w:type="dxa"/>
              <w:bottom w:w="60" w:type="dxa"/>
              <w:right w:w="80" w:type="dxa"/>
            </w:tcMar>
          </w:tcPr>
          <w:p w14:paraId="148D76AE" w14:textId="77777777" w:rsidR="002D7F6C" w:rsidRDefault="00000000">
            <w:pPr>
              <w:spacing w:after="0" w:line="264" w:lineRule="auto"/>
            </w:pPr>
            <w:r>
              <w:rPr>
                <w:rFonts w:ascii="Segoe UI" w:hAnsi="Segoe UI"/>
                <w:color w:val="1E293B"/>
                <w:sz w:val="14"/>
              </w:rPr>
              <w:t>2,277 targets; evidence scores range from 0.0015 to 0.9250.</w:t>
            </w:r>
          </w:p>
        </w:tc>
      </w:tr>
      <w:tr w:rsidR="002D7F6C" w14:paraId="7F5AF413" w14:textId="77777777">
        <w:trPr>
          <w:jc w:val="center"/>
        </w:trPr>
        <w:tc>
          <w:tcPr>
            <w:tcW w:w="1393" w:type="dxa"/>
            <w:tcMar>
              <w:top w:w="60" w:type="dxa"/>
              <w:left w:w="80" w:type="dxa"/>
              <w:bottom w:w="60" w:type="dxa"/>
              <w:right w:w="80" w:type="dxa"/>
            </w:tcMar>
          </w:tcPr>
          <w:p w14:paraId="5A181FD8" w14:textId="77777777" w:rsidR="002D7F6C" w:rsidRDefault="00000000">
            <w:pPr>
              <w:spacing w:after="0" w:line="264" w:lineRule="auto"/>
            </w:pPr>
            <w:r>
              <w:rPr>
                <w:rFonts w:ascii="Segoe UI" w:hAnsi="Segoe UI"/>
                <w:b/>
                <w:color w:val="1E293B"/>
                <w:sz w:val="14"/>
              </w:rPr>
              <w:t>ChEMBL Activity</w:t>
            </w:r>
          </w:p>
        </w:tc>
        <w:tc>
          <w:tcPr>
            <w:tcW w:w="1393" w:type="dxa"/>
            <w:tcMar>
              <w:top w:w="60" w:type="dxa"/>
              <w:left w:w="80" w:type="dxa"/>
              <w:bottom w:w="60" w:type="dxa"/>
              <w:right w:w="80" w:type="dxa"/>
            </w:tcMar>
          </w:tcPr>
          <w:p w14:paraId="6A8A9322" w14:textId="77777777" w:rsidR="002D7F6C" w:rsidRDefault="00000000">
            <w:pPr>
              <w:spacing w:after="0" w:line="264" w:lineRule="auto"/>
            </w:pPr>
            <w:r>
              <w:rPr>
                <w:rFonts w:ascii="Consolas" w:hAnsi="Consolas"/>
                <w:color w:val="0284C7"/>
                <w:sz w:val="13"/>
              </w:rPr>
              <w:t>data/raw/chembl_activity.csv</w:t>
            </w:r>
          </w:p>
        </w:tc>
        <w:tc>
          <w:tcPr>
            <w:tcW w:w="1393" w:type="dxa"/>
            <w:tcMar>
              <w:top w:w="60" w:type="dxa"/>
              <w:left w:w="80" w:type="dxa"/>
              <w:bottom w:w="60" w:type="dxa"/>
              <w:right w:w="80" w:type="dxa"/>
            </w:tcMar>
          </w:tcPr>
          <w:p w14:paraId="613B6E3E" w14:textId="77777777" w:rsidR="002D7F6C" w:rsidRDefault="00000000">
            <w:pPr>
              <w:spacing w:after="0" w:line="264" w:lineRule="auto"/>
            </w:pPr>
            <w:r>
              <w:rPr>
                <w:rFonts w:ascii="Segoe UI" w:hAnsi="Segoe UI"/>
                <w:color w:val="1E293B"/>
                <w:sz w:val="14"/>
              </w:rPr>
              <w:t>In-Vitro Bioactivity</w:t>
            </w:r>
          </w:p>
        </w:tc>
        <w:tc>
          <w:tcPr>
            <w:tcW w:w="1393" w:type="dxa"/>
            <w:tcMar>
              <w:top w:w="60" w:type="dxa"/>
              <w:left w:w="80" w:type="dxa"/>
              <w:bottom w:w="60" w:type="dxa"/>
              <w:right w:w="80" w:type="dxa"/>
            </w:tcMar>
          </w:tcPr>
          <w:p w14:paraId="40013A22" w14:textId="77777777" w:rsidR="002D7F6C" w:rsidRDefault="00000000">
            <w:pPr>
              <w:spacing w:after="0" w:line="264" w:lineRule="auto"/>
            </w:pPr>
            <w:r>
              <w:rPr>
                <w:rFonts w:ascii="Segoe UI" w:hAnsi="Segoe UI"/>
                <w:color w:val="1E293B"/>
                <w:sz w:val="14"/>
              </w:rPr>
              <w:t>8,023</w:t>
            </w:r>
          </w:p>
        </w:tc>
        <w:tc>
          <w:tcPr>
            <w:tcW w:w="1393" w:type="dxa"/>
            <w:tcMar>
              <w:top w:w="60" w:type="dxa"/>
              <w:left w:w="80" w:type="dxa"/>
              <w:bottom w:w="60" w:type="dxa"/>
              <w:right w:w="80" w:type="dxa"/>
            </w:tcMar>
          </w:tcPr>
          <w:p w14:paraId="0A1FFCA0" w14:textId="77777777" w:rsidR="002D7F6C" w:rsidRDefault="00000000">
            <w:pPr>
              <w:spacing w:after="0" w:line="264" w:lineRule="auto"/>
            </w:pPr>
            <w:r>
              <w:rPr>
                <w:rFonts w:ascii="Segoe UI" w:hAnsi="Segoe UI"/>
                <w:color w:val="1E293B"/>
                <w:sz w:val="14"/>
              </w:rPr>
              <w:t>10</w:t>
            </w:r>
          </w:p>
        </w:tc>
        <w:tc>
          <w:tcPr>
            <w:tcW w:w="1393" w:type="dxa"/>
            <w:tcMar>
              <w:top w:w="60" w:type="dxa"/>
              <w:left w:w="80" w:type="dxa"/>
              <w:bottom w:w="60" w:type="dxa"/>
              <w:right w:w="80" w:type="dxa"/>
            </w:tcMar>
          </w:tcPr>
          <w:p w14:paraId="082B4A8A" w14:textId="77777777" w:rsidR="002D7F6C" w:rsidRDefault="00000000">
            <w:pPr>
              <w:spacing w:after="0" w:line="264" w:lineRule="auto"/>
            </w:pPr>
            <w:r>
              <w:rPr>
                <w:rFonts w:ascii="Segoe UI" w:hAnsi="Segoe UI"/>
                <w:color w:val="1E293B"/>
                <w:sz w:val="14"/>
              </w:rPr>
              <w:t>166 targets</w:t>
            </w:r>
          </w:p>
        </w:tc>
        <w:tc>
          <w:tcPr>
            <w:tcW w:w="1393" w:type="dxa"/>
            <w:tcMar>
              <w:top w:w="60" w:type="dxa"/>
              <w:left w:w="80" w:type="dxa"/>
              <w:bottom w:w="60" w:type="dxa"/>
              <w:right w:w="80" w:type="dxa"/>
            </w:tcMar>
          </w:tcPr>
          <w:p w14:paraId="7FD73D63" w14:textId="77777777" w:rsidR="002D7F6C" w:rsidRDefault="00000000">
            <w:pPr>
              <w:spacing w:after="0" w:line="264" w:lineRule="auto"/>
            </w:pPr>
            <w:r>
              <w:rPr>
                <w:rFonts w:ascii="Segoe UI" w:hAnsi="Segoe UI"/>
                <w:color w:val="1E293B"/>
                <w:sz w:val="14"/>
              </w:rPr>
              <w:t xml:space="preserve">Standardized negative log potency </w:t>
            </w:r>
            <w:r>
              <w:rPr>
                <w:rFonts w:ascii="Cambria Math" w:hAnsi="Cambria Math"/>
                <w:i/>
                <w:color w:val="1E293B"/>
                <w:sz w:val="14"/>
              </w:rPr>
              <w:t>pChEMBL</w:t>
            </w:r>
            <w:r>
              <w:rPr>
                <w:rFonts w:ascii="Segoe UI" w:hAnsi="Segoe UI"/>
                <w:color w:val="1E293B"/>
                <w:sz w:val="14"/>
              </w:rPr>
              <w:t xml:space="preserve"> (</w:t>
            </w:r>
            <w:r>
              <w:rPr>
                <w:rFonts w:ascii="Cambria Math" w:hAnsi="Cambria Math"/>
                <w:i/>
                <w:color w:val="1E293B"/>
                <w:sz w:val="14"/>
              </w:rPr>
              <w:t>μ = 7.80</w:t>
            </w:r>
            <w:r>
              <w:rPr>
                <w:rFonts w:ascii="Segoe UI" w:hAnsi="Segoe UI"/>
                <w:color w:val="1E293B"/>
                <w:sz w:val="14"/>
              </w:rPr>
              <w:t>).</w:t>
            </w:r>
          </w:p>
        </w:tc>
      </w:tr>
      <w:tr w:rsidR="002D7F6C" w14:paraId="7635C834" w14:textId="77777777">
        <w:trPr>
          <w:jc w:val="center"/>
        </w:trPr>
        <w:tc>
          <w:tcPr>
            <w:tcW w:w="1393" w:type="dxa"/>
            <w:shd w:val="clear" w:color="auto" w:fill="F8FAFC"/>
            <w:tcMar>
              <w:top w:w="60" w:type="dxa"/>
              <w:left w:w="80" w:type="dxa"/>
              <w:bottom w:w="60" w:type="dxa"/>
              <w:right w:w="80" w:type="dxa"/>
            </w:tcMar>
          </w:tcPr>
          <w:p w14:paraId="5F527982" w14:textId="77777777" w:rsidR="002D7F6C" w:rsidRDefault="00000000">
            <w:pPr>
              <w:spacing w:after="0" w:line="264" w:lineRule="auto"/>
            </w:pPr>
            <w:r>
              <w:rPr>
                <w:rFonts w:ascii="Segoe UI" w:hAnsi="Segoe UI"/>
                <w:b/>
                <w:color w:val="1E293B"/>
                <w:sz w:val="14"/>
              </w:rPr>
              <w:t>ChEMBL Molecules</w:t>
            </w:r>
          </w:p>
        </w:tc>
        <w:tc>
          <w:tcPr>
            <w:tcW w:w="1393" w:type="dxa"/>
            <w:shd w:val="clear" w:color="auto" w:fill="F8FAFC"/>
            <w:tcMar>
              <w:top w:w="60" w:type="dxa"/>
              <w:left w:w="80" w:type="dxa"/>
              <w:bottom w:w="60" w:type="dxa"/>
              <w:right w:w="80" w:type="dxa"/>
            </w:tcMar>
          </w:tcPr>
          <w:p w14:paraId="7A0C4CC3" w14:textId="77777777" w:rsidR="002D7F6C" w:rsidRDefault="00000000">
            <w:pPr>
              <w:spacing w:after="0" w:line="264" w:lineRule="auto"/>
            </w:pPr>
            <w:r>
              <w:rPr>
                <w:rFonts w:ascii="Consolas" w:hAnsi="Consolas"/>
                <w:color w:val="0284C7"/>
                <w:sz w:val="13"/>
              </w:rPr>
              <w:t>data/raw/chembl_molecules.csv</w:t>
            </w:r>
          </w:p>
        </w:tc>
        <w:tc>
          <w:tcPr>
            <w:tcW w:w="1393" w:type="dxa"/>
            <w:shd w:val="clear" w:color="auto" w:fill="F8FAFC"/>
            <w:tcMar>
              <w:top w:w="60" w:type="dxa"/>
              <w:left w:w="80" w:type="dxa"/>
              <w:bottom w:w="60" w:type="dxa"/>
              <w:right w:w="80" w:type="dxa"/>
            </w:tcMar>
          </w:tcPr>
          <w:p w14:paraId="44E9BB31" w14:textId="77777777" w:rsidR="002D7F6C" w:rsidRDefault="00000000">
            <w:pPr>
              <w:spacing w:after="0" w:line="264" w:lineRule="auto"/>
            </w:pPr>
            <w:r>
              <w:rPr>
                <w:rFonts w:ascii="Segoe UI" w:hAnsi="Segoe UI"/>
                <w:color w:val="1E293B"/>
                <w:sz w:val="14"/>
              </w:rPr>
              <w:t>Cheminformatics</w:t>
            </w:r>
          </w:p>
        </w:tc>
        <w:tc>
          <w:tcPr>
            <w:tcW w:w="1393" w:type="dxa"/>
            <w:shd w:val="clear" w:color="auto" w:fill="F8FAFC"/>
            <w:tcMar>
              <w:top w:w="60" w:type="dxa"/>
              <w:left w:w="80" w:type="dxa"/>
              <w:bottom w:w="60" w:type="dxa"/>
              <w:right w:w="80" w:type="dxa"/>
            </w:tcMar>
          </w:tcPr>
          <w:p w14:paraId="55BF256F" w14:textId="77777777" w:rsidR="002D7F6C" w:rsidRDefault="00000000">
            <w:pPr>
              <w:spacing w:after="0" w:line="264" w:lineRule="auto"/>
            </w:pPr>
            <w:r>
              <w:rPr>
                <w:rFonts w:ascii="Segoe UI" w:hAnsi="Segoe UI"/>
                <w:color w:val="1E293B"/>
                <w:sz w:val="14"/>
              </w:rPr>
              <w:t>6,319</w:t>
            </w:r>
          </w:p>
        </w:tc>
        <w:tc>
          <w:tcPr>
            <w:tcW w:w="1393" w:type="dxa"/>
            <w:shd w:val="clear" w:color="auto" w:fill="F8FAFC"/>
            <w:tcMar>
              <w:top w:w="60" w:type="dxa"/>
              <w:left w:w="80" w:type="dxa"/>
              <w:bottom w:w="60" w:type="dxa"/>
              <w:right w:w="80" w:type="dxa"/>
            </w:tcMar>
          </w:tcPr>
          <w:p w14:paraId="210BFCFA" w14:textId="77777777" w:rsidR="002D7F6C" w:rsidRDefault="00000000">
            <w:pPr>
              <w:spacing w:after="0" w:line="264" w:lineRule="auto"/>
            </w:pPr>
            <w:r>
              <w:rPr>
                <w:rFonts w:ascii="Segoe UI" w:hAnsi="Segoe UI"/>
                <w:color w:val="1E293B"/>
                <w:sz w:val="14"/>
              </w:rPr>
              <w:t>11</w:t>
            </w:r>
          </w:p>
        </w:tc>
        <w:tc>
          <w:tcPr>
            <w:tcW w:w="1393" w:type="dxa"/>
            <w:shd w:val="clear" w:color="auto" w:fill="F8FAFC"/>
            <w:tcMar>
              <w:top w:w="60" w:type="dxa"/>
              <w:left w:w="80" w:type="dxa"/>
              <w:bottom w:w="60" w:type="dxa"/>
              <w:right w:w="80" w:type="dxa"/>
            </w:tcMar>
          </w:tcPr>
          <w:p w14:paraId="63F4BAA4" w14:textId="77777777" w:rsidR="002D7F6C" w:rsidRDefault="00000000">
            <w:pPr>
              <w:spacing w:after="0" w:line="264" w:lineRule="auto"/>
            </w:pPr>
            <w:r>
              <w:rPr>
                <w:rFonts w:ascii="Segoe UI" w:hAnsi="Segoe UI"/>
                <w:color w:val="1E293B"/>
                <w:sz w:val="14"/>
              </w:rPr>
              <w:t>6,319 molecules</w:t>
            </w:r>
          </w:p>
        </w:tc>
        <w:tc>
          <w:tcPr>
            <w:tcW w:w="1393" w:type="dxa"/>
            <w:shd w:val="clear" w:color="auto" w:fill="F8FAFC"/>
            <w:tcMar>
              <w:top w:w="60" w:type="dxa"/>
              <w:left w:w="80" w:type="dxa"/>
              <w:bottom w:w="60" w:type="dxa"/>
              <w:right w:w="80" w:type="dxa"/>
            </w:tcMar>
          </w:tcPr>
          <w:p w14:paraId="3EA90BC8" w14:textId="77777777" w:rsidR="002D7F6C" w:rsidRDefault="00000000">
            <w:pPr>
              <w:spacing w:after="0" w:line="264" w:lineRule="auto"/>
            </w:pPr>
            <w:r>
              <w:rPr>
                <w:rFonts w:ascii="Segoe UI" w:hAnsi="Segoe UI"/>
                <w:color w:val="1E293B"/>
                <w:sz w:val="14"/>
              </w:rPr>
              <w:t>Physicochemical properties for Lipinski Rule of 5 screening.</w:t>
            </w:r>
          </w:p>
        </w:tc>
      </w:tr>
      <w:tr w:rsidR="002D7F6C" w14:paraId="0DFABE9F" w14:textId="77777777">
        <w:trPr>
          <w:jc w:val="center"/>
        </w:trPr>
        <w:tc>
          <w:tcPr>
            <w:tcW w:w="1393" w:type="dxa"/>
            <w:tcMar>
              <w:top w:w="60" w:type="dxa"/>
              <w:left w:w="80" w:type="dxa"/>
              <w:bottom w:w="60" w:type="dxa"/>
              <w:right w:w="80" w:type="dxa"/>
            </w:tcMar>
          </w:tcPr>
          <w:p w14:paraId="084E56D9" w14:textId="77777777" w:rsidR="002D7F6C" w:rsidRDefault="00000000">
            <w:pPr>
              <w:spacing w:after="0" w:line="264" w:lineRule="auto"/>
            </w:pPr>
            <w:r>
              <w:rPr>
                <w:rFonts w:ascii="Segoe UI" w:hAnsi="Segoe UI"/>
                <w:b/>
                <w:color w:val="1E293B"/>
                <w:sz w:val="14"/>
              </w:rPr>
              <w:t xml:space="preserve">FDA Approval </w:t>
            </w:r>
            <w:r>
              <w:rPr>
                <w:rFonts w:ascii="Segoe UI" w:hAnsi="Segoe UI"/>
                <w:b/>
                <w:color w:val="1E293B"/>
                <w:sz w:val="14"/>
              </w:rPr>
              <w:lastRenderedPageBreak/>
              <w:t>Timeline</w:t>
            </w:r>
          </w:p>
        </w:tc>
        <w:tc>
          <w:tcPr>
            <w:tcW w:w="1393" w:type="dxa"/>
            <w:tcMar>
              <w:top w:w="60" w:type="dxa"/>
              <w:left w:w="80" w:type="dxa"/>
              <w:bottom w:w="60" w:type="dxa"/>
              <w:right w:w="80" w:type="dxa"/>
            </w:tcMar>
          </w:tcPr>
          <w:p w14:paraId="4066824C" w14:textId="77777777" w:rsidR="002D7F6C" w:rsidRDefault="00000000">
            <w:pPr>
              <w:spacing w:after="0" w:line="264" w:lineRule="auto"/>
            </w:pPr>
            <w:r>
              <w:rPr>
                <w:rFonts w:ascii="Consolas" w:hAnsi="Consolas"/>
                <w:color w:val="0284C7"/>
                <w:sz w:val="13"/>
              </w:rPr>
              <w:lastRenderedPageBreak/>
              <w:t>data/processed/fda_drug_approval_timeline.csv</w:t>
            </w:r>
          </w:p>
        </w:tc>
        <w:tc>
          <w:tcPr>
            <w:tcW w:w="1393" w:type="dxa"/>
            <w:tcMar>
              <w:top w:w="60" w:type="dxa"/>
              <w:left w:w="80" w:type="dxa"/>
              <w:bottom w:w="60" w:type="dxa"/>
              <w:right w:w="80" w:type="dxa"/>
            </w:tcMar>
          </w:tcPr>
          <w:p w14:paraId="37A171AE" w14:textId="77777777" w:rsidR="002D7F6C" w:rsidRDefault="00000000">
            <w:pPr>
              <w:spacing w:after="0" w:line="264" w:lineRule="auto"/>
            </w:pPr>
            <w:r>
              <w:rPr>
                <w:rFonts w:ascii="Segoe UI" w:hAnsi="Segoe UI"/>
                <w:color w:val="1E293B"/>
                <w:sz w:val="14"/>
              </w:rPr>
              <w:t xml:space="preserve">Regulatory </w:t>
            </w:r>
            <w:r>
              <w:rPr>
                <w:rFonts w:ascii="Segoe UI" w:hAnsi="Segoe UI"/>
                <w:color w:val="1E293B"/>
                <w:sz w:val="14"/>
              </w:rPr>
              <w:lastRenderedPageBreak/>
              <w:t>History</w:t>
            </w:r>
          </w:p>
        </w:tc>
        <w:tc>
          <w:tcPr>
            <w:tcW w:w="1393" w:type="dxa"/>
            <w:tcMar>
              <w:top w:w="60" w:type="dxa"/>
              <w:left w:w="80" w:type="dxa"/>
              <w:bottom w:w="60" w:type="dxa"/>
              <w:right w:w="80" w:type="dxa"/>
            </w:tcMar>
          </w:tcPr>
          <w:p w14:paraId="4792F268" w14:textId="77777777" w:rsidR="002D7F6C" w:rsidRDefault="00000000">
            <w:pPr>
              <w:spacing w:after="0" w:line="264" w:lineRule="auto"/>
            </w:pPr>
            <w:r>
              <w:rPr>
                <w:rFonts w:ascii="Segoe UI" w:hAnsi="Segoe UI"/>
                <w:color w:val="1E293B"/>
                <w:sz w:val="14"/>
              </w:rPr>
              <w:lastRenderedPageBreak/>
              <w:t>12,243</w:t>
            </w:r>
          </w:p>
        </w:tc>
        <w:tc>
          <w:tcPr>
            <w:tcW w:w="1393" w:type="dxa"/>
            <w:tcMar>
              <w:top w:w="60" w:type="dxa"/>
              <w:left w:w="80" w:type="dxa"/>
              <w:bottom w:w="60" w:type="dxa"/>
              <w:right w:w="80" w:type="dxa"/>
            </w:tcMar>
          </w:tcPr>
          <w:p w14:paraId="6B6A6395" w14:textId="77777777" w:rsidR="002D7F6C" w:rsidRDefault="00000000">
            <w:pPr>
              <w:spacing w:after="0" w:line="264" w:lineRule="auto"/>
            </w:pPr>
            <w:r>
              <w:rPr>
                <w:rFonts w:ascii="Segoe UI" w:hAnsi="Segoe UI"/>
                <w:color w:val="1E293B"/>
                <w:sz w:val="14"/>
              </w:rPr>
              <w:t>12</w:t>
            </w:r>
          </w:p>
        </w:tc>
        <w:tc>
          <w:tcPr>
            <w:tcW w:w="1393" w:type="dxa"/>
            <w:tcMar>
              <w:top w:w="60" w:type="dxa"/>
              <w:left w:w="80" w:type="dxa"/>
              <w:bottom w:w="60" w:type="dxa"/>
              <w:right w:w="80" w:type="dxa"/>
            </w:tcMar>
          </w:tcPr>
          <w:p w14:paraId="6B7B493B" w14:textId="77777777" w:rsidR="002D7F6C" w:rsidRDefault="00000000">
            <w:pPr>
              <w:spacing w:after="0" w:line="264" w:lineRule="auto"/>
            </w:pPr>
            <w:r>
              <w:rPr>
                <w:rFonts w:ascii="Segoe UI" w:hAnsi="Segoe UI"/>
                <w:color w:val="1E293B"/>
                <w:sz w:val="14"/>
              </w:rPr>
              <w:t xml:space="preserve">3,142 </w:t>
            </w:r>
            <w:r>
              <w:rPr>
                <w:rFonts w:ascii="Segoe UI" w:hAnsi="Segoe UI"/>
                <w:color w:val="1E293B"/>
                <w:sz w:val="14"/>
              </w:rPr>
              <w:lastRenderedPageBreak/>
              <w:t>ingredients</w:t>
            </w:r>
          </w:p>
        </w:tc>
        <w:tc>
          <w:tcPr>
            <w:tcW w:w="1393" w:type="dxa"/>
            <w:tcMar>
              <w:top w:w="60" w:type="dxa"/>
              <w:left w:w="80" w:type="dxa"/>
              <w:bottom w:w="60" w:type="dxa"/>
              <w:right w:w="80" w:type="dxa"/>
            </w:tcMar>
          </w:tcPr>
          <w:p w14:paraId="73B5513E" w14:textId="77777777" w:rsidR="002D7F6C" w:rsidRDefault="00000000">
            <w:pPr>
              <w:spacing w:after="0" w:line="264" w:lineRule="auto"/>
            </w:pPr>
            <w:r>
              <w:rPr>
                <w:rFonts w:ascii="Segoe UI" w:hAnsi="Segoe UI"/>
                <w:color w:val="1E293B"/>
                <w:sz w:val="14"/>
              </w:rPr>
              <w:lastRenderedPageBreak/>
              <w:t xml:space="preserve">749 records lack </w:t>
            </w:r>
            <w:r>
              <w:rPr>
                <w:rFonts w:ascii="Segoe UI" w:hAnsi="Segoe UI"/>
                <w:color w:val="1E293B"/>
                <w:sz w:val="14"/>
              </w:rPr>
              <w:lastRenderedPageBreak/>
              <w:t>explicit approval dates; span 1939–2026.</w:t>
            </w:r>
          </w:p>
        </w:tc>
      </w:tr>
      <w:tr w:rsidR="002D7F6C" w14:paraId="35D982CD" w14:textId="77777777">
        <w:trPr>
          <w:jc w:val="center"/>
        </w:trPr>
        <w:tc>
          <w:tcPr>
            <w:tcW w:w="1393" w:type="dxa"/>
            <w:shd w:val="clear" w:color="auto" w:fill="F8FAFC"/>
            <w:tcMar>
              <w:top w:w="60" w:type="dxa"/>
              <w:left w:w="80" w:type="dxa"/>
              <w:bottom w:w="60" w:type="dxa"/>
              <w:right w:w="80" w:type="dxa"/>
            </w:tcMar>
          </w:tcPr>
          <w:p w14:paraId="676FA06B" w14:textId="77777777" w:rsidR="002D7F6C" w:rsidRDefault="00000000">
            <w:pPr>
              <w:spacing w:after="0" w:line="264" w:lineRule="auto"/>
            </w:pPr>
            <w:r>
              <w:rPr>
                <w:rFonts w:ascii="Segoe UI" w:hAnsi="Segoe UI"/>
                <w:b/>
                <w:color w:val="1E293B"/>
                <w:sz w:val="14"/>
              </w:rPr>
              <w:t>FDA-ChEMBL Match Audit</w:t>
            </w:r>
          </w:p>
        </w:tc>
        <w:tc>
          <w:tcPr>
            <w:tcW w:w="1393" w:type="dxa"/>
            <w:shd w:val="clear" w:color="auto" w:fill="F8FAFC"/>
            <w:tcMar>
              <w:top w:w="60" w:type="dxa"/>
              <w:left w:w="80" w:type="dxa"/>
              <w:bottom w:w="60" w:type="dxa"/>
              <w:right w:w="80" w:type="dxa"/>
            </w:tcMar>
          </w:tcPr>
          <w:p w14:paraId="406A0DBA" w14:textId="77777777" w:rsidR="002D7F6C" w:rsidRDefault="00000000">
            <w:pPr>
              <w:spacing w:after="0" w:line="264" w:lineRule="auto"/>
            </w:pPr>
            <w:r>
              <w:rPr>
                <w:rFonts w:ascii="Consolas" w:hAnsi="Consolas"/>
                <w:color w:val="0284C7"/>
                <w:sz w:val="13"/>
              </w:rPr>
              <w:t>data/processed/fda_chembl_match_audit.csv</w:t>
            </w:r>
          </w:p>
        </w:tc>
        <w:tc>
          <w:tcPr>
            <w:tcW w:w="1393" w:type="dxa"/>
            <w:shd w:val="clear" w:color="auto" w:fill="F8FAFC"/>
            <w:tcMar>
              <w:top w:w="60" w:type="dxa"/>
              <w:left w:w="80" w:type="dxa"/>
              <w:bottom w:w="60" w:type="dxa"/>
              <w:right w:w="80" w:type="dxa"/>
            </w:tcMar>
          </w:tcPr>
          <w:p w14:paraId="3F9D5EC7" w14:textId="77777777" w:rsidR="002D7F6C" w:rsidRDefault="00000000">
            <w:pPr>
              <w:spacing w:after="0" w:line="264" w:lineRule="auto"/>
            </w:pPr>
            <w:r>
              <w:rPr>
                <w:rFonts w:ascii="Segoe UI" w:hAnsi="Segoe UI"/>
                <w:color w:val="1E293B"/>
                <w:sz w:val="14"/>
              </w:rPr>
              <w:t>Entity Resolution</w:t>
            </w:r>
          </w:p>
        </w:tc>
        <w:tc>
          <w:tcPr>
            <w:tcW w:w="1393" w:type="dxa"/>
            <w:shd w:val="clear" w:color="auto" w:fill="F8FAFC"/>
            <w:tcMar>
              <w:top w:w="60" w:type="dxa"/>
              <w:left w:w="80" w:type="dxa"/>
              <w:bottom w:w="60" w:type="dxa"/>
              <w:right w:w="80" w:type="dxa"/>
            </w:tcMar>
          </w:tcPr>
          <w:p w14:paraId="1349D9B4" w14:textId="77777777" w:rsidR="002D7F6C" w:rsidRDefault="00000000">
            <w:pPr>
              <w:spacing w:after="0" w:line="264" w:lineRule="auto"/>
            </w:pPr>
            <w:r>
              <w:rPr>
                <w:rFonts w:ascii="Segoe UI" w:hAnsi="Segoe UI"/>
                <w:color w:val="1E293B"/>
                <w:sz w:val="14"/>
              </w:rPr>
              <w:t>3,142</w:t>
            </w:r>
          </w:p>
        </w:tc>
        <w:tc>
          <w:tcPr>
            <w:tcW w:w="1393" w:type="dxa"/>
            <w:shd w:val="clear" w:color="auto" w:fill="F8FAFC"/>
            <w:tcMar>
              <w:top w:w="60" w:type="dxa"/>
              <w:left w:w="80" w:type="dxa"/>
              <w:bottom w:w="60" w:type="dxa"/>
              <w:right w:w="80" w:type="dxa"/>
            </w:tcMar>
          </w:tcPr>
          <w:p w14:paraId="133186F7" w14:textId="77777777" w:rsidR="002D7F6C" w:rsidRDefault="00000000">
            <w:pPr>
              <w:spacing w:after="0" w:line="264" w:lineRule="auto"/>
            </w:pPr>
            <w:r>
              <w:rPr>
                <w:rFonts w:ascii="Segoe UI" w:hAnsi="Segoe UI"/>
                <w:color w:val="1E293B"/>
                <w:sz w:val="14"/>
              </w:rPr>
              <w:t>9</w:t>
            </w:r>
          </w:p>
        </w:tc>
        <w:tc>
          <w:tcPr>
            <w:tcW w:w="1393" w:type="dxa"/>
            <w:shd w:val="clear" w:color="auto" w:fill="F8FAFC"/>
            <w:tcMar>
              <w:top w:w="60" w:type="dxa"/>
              <w:left w:w="80" w:type="dxa"/>
              <w:bottom w:w="60" w:type="dxa"/>
              <w:right w:w="80" w:type="dxa"/>
            </w:tcMar>
          </w:tcPr>
          <w:p w14:paraId="6E136A86" w14:textId="77777777" w:rsidR="002D7F6C" w:rsidRDefault="00000000">
            <w:pPr>
              <w:spacing w:after="0" w:line="264" w:lineRule="auto"/>
            </w:pPr>
            <w:r>
              <w:rPr>
                <w:rFonts w:ascii="Segoe UI" w:hAnsi="Segoe UI"/>
                <w:color w:val="1E293B"/>
                <w:sz w:val="14"/>
              </w:rPr>
              <w:t>3,059 matched</w:t>
            </w:r>
          </w:p>
        </w:tc>
        <w:tc>
          <w:tcPr>
            <w:tcW w:w="1393" w:type="dxa"/>
            <w:shd w:val="clear" w:color="auto" w:fill="F8FAFC"/>
            <w:tcMar>
              <w:top w:w="60" w:type="dxa"/>
              <w:left w:w="80" w:type="dxa"/>
              <w:bottom w:w="60" w:type="dxa"/>
              <w:right w:w="80" w:type="dxa"/>
            </w:tcMar>
          </w:tcPr>
          <w:p w14:paraId="79EA8ABE" w14:textId="77777777" w:rsidR="002D7F6C" w:rsidRDefault="00000000">
            <w:pPr>
              <w:spacing w:after="0" w:line="264" w:lineRule="auto"/>
            </w:pPr>
            <w:r>
              <w:rPr>
                <w:rFonts w:ascii="Segoe UI" w:hAnsi="Segoe UI"/>
                <w:color w:val="1E293B"/>
                <w:sz w:val="14"/>
              </w:rPr>
              <w:t>97.36% match rate across string normalization techniques.</w:t>
            </w:r>
          </w:p>
        </w:tc>
      </w:tr>
      <w:tr w:rsidR="002D7F6C" w14:paraId="28CB5EBC" w14:textId="77777777">
        <w:trPr>
          <w:jc w:val="center"/>
        </w:trPr>
        <w:tc>
          <w:tcPr>
            <w:tcW w:w="1393" w:type="dxa"/>
            <w:tcMar>
              <w:top w:w="60" w:type="dxa"/>
              <w:left w:w="80" w:type="dxa"/>
              <w:bottom w:w="60" w:type="dxa"/>
              <w:right w:w="80" w:type="dxa"/>
            </w:tcMar>
          </w:tcPr>
          <w:p w14:paraId="747BBBF9" w14:textId="77777777" w:rsidR="002D7F6C" w:rsidRDefault="00000000">
            <w:pPr>
              <w:spacing w:after="0" w:line="264" w:lineRule="auto"/>
            </w:pPr>
            <w:r>
              <w:rPr>
                <w:rFonts w:ascii="Segoe UI" w:hAnsi="Segoe UI"/>
                <w:b/>
                <w:color w:val="1E293B"/>
                <w:sz w:val="14"/>
              </w:rPr>
              <w:t>Master Development Timeline</w:t>
            </w:r>
          </w:p>
        </w:tc>
        <w:tc>
          <w:tcPr>
            <w:tcW w:w="1393" w:type="dxa"/>
            <w:tcMar>
              <w:top w:w="60" w:type="dxa"/>
              <w:left w:w="80" w:type="dxa"/>
              <w:bottom w:w="60" w:type="dxa"/>
              <w:right w:w="80" w:type="dxa"/>
            </w:tcMar>
          </w:tcPr>
          <w:p w14:paraId="49E746ED" w14:textId="77777777" w:rsidR="002D7F6C" w:rsidRDefault="00000000">
            <w:pPr>
              <w:spacing w:after="0" w:line="264" w:lineRule="auto"/>
            </w:pPr>
            <w:r>
              <w:rPr>
                <w:rFonts w:ascii="Consolas" w:hAnsi="Consolas"/>
                <w:color w:val="0284C7"/>
                <w:sz w:val="13"/>
              </w:rPr>
              <w:t>data/processed/therapeutic_development_timeline.csv</w:t>
            </w:r>
          </w:p>
        </w:tc>
        <w:tc>
          <w:tcPr>
            <w:tcW w:w="1393" w:type="dxa"/>
            <w:tcMar>
              <w:top w:w="60" w:type="dxa"/>
              <w:left w:w="80" w:type="dxa"/>
              <w:bottom w:w="60" w:type="dxa"/>
              <w:right w:w="80" w:type="dxa"/>
            </w:tcMar>
          </w:tcPr>
          <w:p w14:paraId="4898DB86" w14:textId="77777777" w:rsidR="002D7F6C" w:rsidRDefault="00000000">
            <w:pPr>
              <w:spacing w:after="0" w:line="264" w:lineRule="auto"/>
            </w:pPr>
            <w:r>
              <w:rPr>
                <w:rFonts w:ascii="Segoe UI" w:hAnsi="Segoe UI"/>
                <w:color w:val="1E293B"/>
                <w:sz w:val="14"/>
              </w:rPr>
              <w:t>Regulatory Pipeline</w:t>
            </w:r>
          </w:p>
        </w:tc>
        <w:tc>
          <w:tcPr>
            <w:tcW w:w="1393" w:type="dxa"/>
            <w:tcMar>
              <w:top w:w="60" w:type="dxa"/>
              <w:left w:w="80" w:type="dxa"/>
              <w:bottom w:w="60" w:type="dxa"/>
              <w:right w:w="80" w:type="dxa"/>
            </w:tcMar>
          </w:tcPr>
          <w:p w14:paraId="2B2A6CF6" w14:textId="77777777" w:rsidR="002D7F6C" w:rsidRDefault="00000000">
            <w:pPr>
              <w:spacing w:after="0" w:line="264" w:lineRule="auto"/>
            </w:pPr>
            <w:r>
              <w:rPr>
                <w:rFonts w:ascii="Segoe UI" w:hAnsi="Segoe UI"/>
                <w:color w:val="1E293B"/>
                <w:sz w:val="14"/>
              </w:rPr>
              <w:t>555,323</w:t>
            </w:r>
          </w:p>
        </w:tc>
        <w:tc>
          <w:tcPr>
            <w:tcW w:w="1393" w:type="dxa"/>
            <w:tcMar>
              <w:top w:w="60" w:type="dxa"/>
              <w:left w:w="80" w:type="dxa"/>
              <w:bottom w:w="60" w:type="dxa"/>
              <w:right w:w="80" w:type="dxa"/>
            </w:tcMar>
          </w:tcPr>
          <w:p w14:paraId="15A2E592" w14:textId="77777777" w:rsidR="002D7F6C" w:rsidRDefault="00000000">
            <w:pPr>
              <w:spacing w:after="0" w:line="264" w:lineRule="auto"/>
            </w:pPr>
            <w:r>
              <w:rPr>
                <w:rFonts w:ascii="Segoe UI" w:hAnsi="Segoe UI"/>
                <w:color w:val="1E293B"/>
                <w:sz w:val="14"/>
              </w:rPr>
              <w:t>14</w:t>
            </w:r>
          </w:p>
        </w:tc>
        <w:tc>
          <w:tcPr>
            <w:tcW w:w="1393" w:type="dxa"/>
            <w:tcMar>
              <w:top w:w="60" w:type="dxa"/>
              <w:left w:w="80" w:type="dxa"/>
              <w:bottom w:w="60" w:type="dxa"/>
              <w:right w:w="80" w:type="dxa"/>
            </w:tcMar>
          </w:tcPr>
          <w:p w14:paraId="254DE177" w14:textId="77777777" w:rsidR="002D7F6C" w:rsidRDefault="00000000">
            <w:pPr>
              <w:spacing w:after="0" w:line="264" w:lineRule="auto"/>
            </w:pPr>
            <w:r>
              <w:rPr>
                <w:rFonts w:ascii="Segoe UI" w:hAnsi="Segoe UI"/>
                <w:color w:val="1E293B"/>
                <w:sz w:val="14"/>
              </w:rPr>
              <w:t>2,378 diseases</w:t>
            </w:r>
          </w:p>
        </w:tc>
        <w:tc>
          <w:tcPr>
            <w:tcW w:w="1393" w:type="dxa"/>
            <w:tcMar>
              <w:top w:w="60" w:type="dxa"/>
              <w:left w:w="80" w:type="dxa"/>
              <w:bottom w:w="60" w:type="dxa"/>
              <w:right w:w="80" w:type="dxa"/>
            </w:tcMar>
          </w:tcPr>
          <w:p w14:paraId="37CF5A63" w14:textId="77777777" w:rsidR="002D7F6C" w:rsidRDefault="00000000">
            <w:pPr>
              <w:spacing w:after="0" w:line="264" w:lineRule="auto"/>
            </w:pPr>
            <w:r>
              <w:rPr>
                <w:rFonts w:ascii="Segoe UI" w:hAnsi="Segoe UI"/>
                <w:color w:val="1E293B"/>
                <w:sz w:val="14"/>
              </w:rPr>
              <w:t>Cartesian formulation join rows for 30,430 unique disease-drug pairs (not unique clinical trials).</w:t>
            </w:r>
          </w:p>
        </w:tc>
      </w:tr>
    </w:tbl>
    <w:p w14:paraId="1CFE12D0" w14:textId="77777777" w:rsidR="002D7F6C" w:rsidRDefault="002D7F6C">
      <w:pPr>
        <w:spacing w:after="80"/>
      </w:pPr>
    </w:p>
    <w:p w14:paraId="5A247819" w14:textId="77777777" w:rsidR="002D7F6C" w:rsidRDefault="00000000">
      <w:pPr>
        <w:keepNext/>
        <w:spacing w:before="180" w:after="60"/>
      </w:pPr>
      <w:r>
        <w:rPr>
          <w:rFonts w:ascii="Segoe UI" w:hAnsi="Segoe UI"/>
          <w:b/>
          <w:color w:val="0F172A"/>
          <w:sz w:val="20"/>
        </w:rPr>
        <w:t>3.2 Clinical Symptom-Disease Manifold</w:t>
      </w:r>
    </w:p>
    <w:p w14:paraId="44203C4F" w14:textId="77777777" w:rsidR="002D7F6C" w:rsidRDefault="00000000">
      <w:pPr>
        <w:spacing w:after="80"/>
      </w:pPr>
      <w:r>
        <w:rPr>
          <w:rFonts w:ascii="Segoe UI" w:hAnsi="Segoe UI"/>
          <w:color w:val="1E293B"/>
          <w:sz w:val="18"/>
        </w:rPr>
        <w:t>The clinical symptom dataset (</w:t>
      </w:r>
      <w:r>
        <w:rPr>
          <w:rFonts w:ascii="Consolas" w:hAnsi="Consolas"/>
          <w:color w:val="0284C7"/>
          <w:sz w:val="16"/>
        </w:rPr>
        <w:t>symptom_disease.csv</w:t>
      </w:r>
      <w:r>
        <w:rPr>
          <w:rFonts w:ascii="Segoe UI" w:hAnsi="Segoe UI"/>
          <w:color w:val="1E293B"/>
          <w:sz w:val="18"/>
        </w:rPr>
        <w:t xml:space="preserve">) models the relationship between patient symptom presentations and 41 distinct pathology categories. It consists of 132 binary indicator columns representing specific symptoms (e.g., </w:t>
      </w:r>
      <w:r>
        <w:rPr>
          <w:rFonts w:ascii="Consolas" w:hAnsi="Consolas"/>
          <w:color w:val="0284C7"/>
          <w:sz w:val="16"/>
        </w:rPr>
        <w:t>chills</w:t>
      </w:r>
      <w:r>
        <w:rPr>
          <w:rFonts w:ascii="Segoe UI" w:hAnsi="Segoe UI"/>
          <w:color w:val="1E293B"/>
          <w:sz w:val="18"/>
        </w:rPr>
        <w:t xml:space="preserve">, </w:t>
      </w:r>
      <w:r>
        <w:rPr>
          <w:rFonts w:ascii="Consolas" w:hAnsi="Consolas"/>
          <w:color w:val="0284C7"/>
          <w:sz w:val="16"/>
        </w:rPr>
        <w:t>vomiting</w:t>
      </w:r>
      <w:r>
        <w:rPr>
          <w:rFonts w:ascii="Segoe UI" w:hAnsi="Segoe UI"/>
          <w:color w:val="1E293B"/>
          <w:sz w:val="18"/>
        </w:rPr>
        <w:t xml:space="preserve">, </w:t>
      </w:r>
      <w:r>
        <w:rPr>
          <w:rFonts w:ascii="Consolas" w:hAnsi="Consolas"/>
          <w:color w:val="0284C7"/>
          <w:sz w:val="16"/>
        </w:rPr>
        <w:t>high_fever</w:t>
      </w:r>
      <w:r>
        <w:rPr>
          <w:rFonts w:ascii="Segoe UI" w:hAnsi="Segoe UI"/>
          <w:color w:val="1E293B"/>
          <w:sz w:val="18"/>
        </w:rPr>
        <w:t xml:space="preserve">, </w:t>
      </w:r>
      <w:r>
        <w:rPr>
          <w:rFonts w:ascii="Consolas" w:hAnsi="Consolas"/>
          <w:color w:val="0284C7"/>
          <w:sz w:val="16"/>
        </w:rPr>
        <w:t>fatigue</w:t>
      </w:r>
      <w:r>
        <w:rPr>
          <w:rFonts w:ascii="Segoe UI" w:hAnsi="Segoe UI"/>
          <w:color w:val="1E293B"/>
          <w:sz w:val="18"/>
        </w:rPr>
        <w:t xml:space="preserve">, </w:t>
      </w:r>
      <w:r>
        <w:rPr>
          <w:rFonts w:ascii="Consolas" w:hAnsi="Consolas"/>
          <w:color w:val="0284C7"/>
          <w:sz w:val="16"/>
        </w:rPr>
        <w:t>yellowish_skin</w:t>
      </w:r>
      <w:r>
        <w:rPr>
          <w:rFonts w:ascii="Segoe UI" w:hAnsi="Segoe UI"/>
          <w:color w:val="1E293B"/>
          <w:sz w:val="18"/>
        </w:rPr>
        <w:t>) and one categorical target column (</w:t>
      </w:r>
      <w:r>
        <w:rPr>
          <w:rFonts w:ascii="Consolas" w:hAnsi="Consolas"/>
          <w:color w:val="0284C7"/>
          <w:sz w:val="16"/>
        </w:rPr>
        <w:t>prognosis</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2D1C118E" w14:textId="77777777">
        <w:trPr>
          <w:jc w:val="center"/>
        </w:trPr>
        <w:tc>
          <w:tcPr>
            <w:tcW w:w="9749" w:type="dxa"/>
            <w:shd w:val="clear" w:color="auto" w:fill="F8FAFC"/>
            <w:tcMar>
              <w:top w:w="90" w:type="dxa"/>
              <w:left w:w="130" w:type="dxa"/>
              <w:bottom w:w="90" w:type="dxa"/>
              <w:right w:w="130" w:type="dxa"/>
            </w:tcMar>
          </w:tcPr>
          <w:p w14:paraId="23B68BC0" w14:textId="77777777" w:rsidR="002D7F6C" w:rsidRDefault="00000000">
            <w:pPr>
              <w:spacing w:after="0"/>
            </w:pPr>
            <w:r>
              <w:rPr>
                <w:rFonts w:ascii="Consolas" w:hAnsi="Consolas"/>
                <w:color w:val="1E293B"/>
                <w:sz w:val="15"/>
              </w:rPr>
              <w:t>Clinical Feature Space: 132 Binary Symptoms ∈ {0, 1}</w:t>
            </w:r>
            <w:r>
              <w:rPr>
                <w:rFonts w:ascii="Consolas" w:hAnsi="Consolas"/>
                <w:color w:val="1E293B"/>
                <w:sz w:val="15"/>
              </w:rPr>
              <w:br/>
              <w:t>Target Space: 41 Standardized Pathology Classes (Balanced at 121 raw observations per class)</w:t>
            </w:r>
            <w:r>
              <w:rPr>
                <w:rFonts w:ascii="Consolas" w:hAnsi="Consolas"/>
                <w:color w:val="1E293B"/>
                <w:sz w:val="15"/>
              </w:rPr>
              <w:br/>
              <w:t>Total Raw Matrix Volume: 4,961 Observations × 133 Dimensions = 659,813 Data Points</w:t>
            </w:r>
            <w:r>
              <w:rPr>
                <w:rFonts w:ascii="Consolas" w:hAnsi="Consolas"/>
                <w:color w:val="1E293B"/>
                <w:sz w:val="15"/>
              </w:rPr>
              <w:br/>
              <w:t>Missing Value Frequency: 0 Null Cells (100.0% Complete Matrix)</w:t>
            </w:r>
          </w:p>
        </w:tc>
      </w:tr>
    </w:tbl>
    <w:p w14:paraId="28DA2F08" w14:textId="77777777" w:rsidR="002D7F6C" w:rsidRDefault="002D7F6C">
      <w:pPr>
        <w:spacing w:after="80"/>
      </w:pPr>
    </w:p>
    <w:p w14:paraId="554B1375" w14:textId="77777777" w:rsidR="002D7F6C" w:rsidRDefault="00000000">
      <w:pPr>
        <w:keepNext/>
        <w:spacing w:before="160" w:after="40"/>
        <w:jc w:val="center"/>
      </w:pPr>
      <w:r>
        <w:rPr>
          <w:noProof/>
        </w:rPr>
        <w:drawing>
          <wp:inline distT="0" distB="0" distL="0" distR="0" wp14:anchorId="009E2A7B" wp14:editId="4ED062F6">
            <wp:extent cx="4754880" cy="3169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ease_distribution.png"/>
                    <pic:cNvPicPr/>
                  </pic:nvPicPr>
                  <pic:blipFill>
                    <a:blip r:embed="rId10"/>
                    <a:stretch>
                      <a:fillRect/>
                    </a:stretch>
                  </pic:blipFill>
                  <pic:spPr>
                    <a:xfrm>
                      <a:off x="0" y="0"/>
                      <a:ext cx="4754880" cy="3169920"/>
                    </a:xfrm>
                    <a:prstGeom prst="rect">
                      <a:avLst/>
                    </a:prstGeom>
                  </pic:spPr>
                </pic:pic>
              </a:graphicData>
            </a:graphic>
          </wp:inline>
        </w:drawing>
      </w:r>
    </w:p>
    <w:p w14:paraId="3C364945" w14:textId="77777777" w:rsidR="002D7F6C" w:rsidRDefault="00000000">
      <w:pPr>
        <w:spacing w:before="40" w:after="160"/>
        <w:jc w:val="center"/>
      </w:pPr>
      <w:r>
        <w:rPr>
          <w:rFonts w:ascii="Segoe UI" w:hAnsi="Segoe UI"/>
          <w:i/>
          <w:color w:val="64748B"/>
          <w:sz w:val="16"/>
        </w:rPr>
        <w:t>Figure 3.1: Distribution of records across the 41 disease classes in the raw symptom dataset.</w:t>
      </w:r>
    </w:p>
    <w:p w14:paraId="09A5A6C6" w14:textId="77777777" w:rsidR="002D7F6C" w:rsidRDefault="00000000">
      <w:pPr>
        <w:keepNext/>
        <w:spacing w:before="120" w:after="40"/>
      </w:pPr>
      <w:r>
        <w:rPr>
          <w:rFonts w:ascii="Segoe UI" w:hAnsi="Segoe UI"/>
          <w:b/>
          <w:color w:val="334155"/>
          <w:sz w:val="18"/>
        </w:rPr>
        <w:t>Critical Data Leakage &amp; Synthetic Duplication Audit</w:t>
      </w:r>
    </w:p>
    <w:p w14:paraId="32FBB114" w14:textId="77777777" w:rsidR="002D7F6C" w:rsidRDefault="00000000">
      <w:pPr>
        <w:spacing w:after="80"/>
      </w:pPr>
      <w:r>
        <w:rPr>
          <w:rFonts w:ascii="Segoe UI" w:hAnsi="Segoe UI"/>
          <w:color w:val="1E293B"/>
          <w:sz w:val="18"/>
        </w:rPr>
        <w:t xml:space="preserve">Initial inspection revealed that the raw dataset of 4,961 records exhibits extreme synthetic repetition. Exactly </w:t>
      </w:r>
      <w:r>
        <w:rPr>
          <w:rFonts w:ascii="Segoe UI" w:hAnsi="Segoe UI"/>
          <w:b/>
          <w:color w:val="1E293B"/>
          <w:sz w:val="18"/>
        </w:rPr>
        <w:t>4,657 rows (93.87%)</w:t>
      </w:r>
      <w:r>
        <w:rPr>
          <w:rFonts w:ascii="Segoe UI" w:hAnsi="Segoe UI"/>
          <w:color w:val="1E293B"/>
          <w:sz w:val="18"/>
        </w:rPr>
        <w:t xml:space="preserve"> are duplicate copies of identical symptom combinations. Performing standard unstratified or naive random train/test splitting on the raw matrix causes duplicate rows to appear simultaneously in training and test partitions. This constitutes severe data leakage, where classifiers memorize identical binary vectors and produce artificial near-100% accuracy.</w:t>
      </w:r>
    </w:p>
    <w:p w14:paraId="7CC51A1D" w14:textId="77777777" w:rsidR="002D7F6C" w:rsidRDefault="00000000">
      <w:pPr>
        <w:spacing w:after="80"/>
      </w:pPr>
      <w:r>
        <w:rPr>
          <w:rFonts w:ascii="Segoe UI" w:hAnsi="Segoe UI"/>
          <w:color w:val="1E293B"/>
          <w:sz w:val="18"/>
        </w:rPr>
        <w:t xml:space="preserve">TheraLens mitigates this issue by collapsing identical rows into a canonical clinical manifold of </w:t>
      </w:r>
      <w:r>
        <w:rPr>
          <w:rFonts w:ascii="Segoe UI" w:hAnsi="Segoe UI"/>
          <w:b/>
          <w:color w:val="1E293B"/>
          <w:sz w:val="18"/>
        </w:rPr>
        <w:t>304 unique symptom patterns</w:t>
      </w:r>
      <w:r>
        <w:rPr>
          <w:rFonts w:ascii="Segoe UI" w:hAnsi="Segoe UI"/>
          <w:color w:val="1E293B"/>
          <w:sz w:val="18"/>
        </w:rPr>
        <w:t xml:space="preserve"> (</w:t>
      </w:r>
      <w:r>
        <w:rPr>
          <w:rFonts w:ascii="Consolas" w:hAnsi="Consolas"/>
          <w:color w:val="0284C7"/>
          <w:sz w:val="16"/>
        </w:rPr>
        <w:t>symptom_disease_clean.csv</w:t>
      </w:r>
      <w:r>
        <w:rPr>
          <w:rFonts w:ascii="Segoe UI" w:hAnsi="Segoe UI"/>
          <w:color w:val="1E293B"/>
          <w:sz w:val="18"/>
        </w:rPr>
        <w:t>), where each disease class is represented by 5 to 10 distinct symptom permutations.</w:t>
      </w:r>
    </w:p>
    <w:p w14:paraId="3087C02D" w14:textId="77777777" w:rsidR="002D7F6C" w:rsidRDefault="00000000">
      <w:pPr>
        <w:keepNext/>
        <w:spacing w:before="160" w:after="40"/>
        <w:jc w:val="center"/>
      </w:pPr>
      <w:r>
        <w:rPr>
          <w:noProof/>
        </w:rPr>
        <w:lastRenderedPageBreak/>
        <w:drawing>
          <wp:inline distT="0" distB="0" distL="0" distR="0" wp14:anchorId="2B714CA3" wp14:editId="3495E348">
            <wp:extent cx="475488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ptom_duplicates.png"/>
                    <pic:cNvPicPr/>
                  </pic:nvPicPr>
                  <pic:blipFill>
                    <a:blip r:embed="rId11"/>
                    <a:stretch>
                      <a:fillRect/>
                    </a:stretch>
                  </pic:blipFill>
                  <pic:spPr>
                    <a:xfrm>
                      <a:off x="0" y="0"/>
                      <a:ext cx="4754880" cy="2971800"/>
                    </a:xfrm>
                    <a:prstGeom prst="rect">
                      <a:avLst/>
                    </a:prstGeom>
                  </pic:spPr>
                </pic:pic>
              </a:graphicData>
            </a:graphic>
          </wp:inline>
        </w:drawing>
      </w:r>
    </w:p>
    <w:p w14:paraId="62E438B7" w14:textId="77777777" w:rsidR="002D7F6C" w:rsidRDefault="00000000">
      <w:pPr>
        <w:spacing w:before="40" w:after="160"/>
        <w:jc w:val="center"/>
      </w:pPr>
      <w:r>
        <w:rPr>
          <w:rFonts w:ascii="Segoe UI" w:hAnsi="Segoe UI"/>
          <w:i/>
          <w:color w:val="64748B"/>
          <w:sz w:val="16"/>
        </w:rPr>
        <w:t>Figure 3.2: Duplication audit revealing 4,657 redundant synthetic records collapsed into 304 unique clinical patterns.</w:t>
      </w:r>
    </w:p>
    <w:p w14:paraId="6860B16D" w14:textId="77777777" w:rsidR="002D7F6C" w:rsidRDefault="00000000">
      <w:pPr>
        <w:keepNext/>
        <w:spacing w:before="160" w:after="40"/>
        <w:jc w:val="center"/>
      </w:pPr>
      <w:r>
        <w:rPr>
          <w:noProof/>
        </w:rPr>
        <w:drawing>
          <wp:inline distT="0" distB="0" distL="0" distR="0" wp14:anchorId="753D015E" wp14:editId="406A668A">
            <wp:extent cx="4754880" cy="2377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mptom_frequency.png"/>
                    <pic:cNvPicPr/>
                  </pic:nvPicPr>
                  <pic:blipFill>
                    <a:blip r:embed="rId12"/>
                    <a:stretch>
                      <a:fillRect/>
                    </a:stretch>
                  </pic:blipFill>
                  <pic:spPr>
                    <a:xfrm>
                      <a:off x="0" y="0"/>
                      <a:ext cx="4754880" cy="2377440"/>
                    </a:xfrm>
                    <a:prstGeom prst="rect">
                      <a:avLst/>
                    </a:prstGeom>
                  </pic:spPr>
                </pic:pic>
              </a:graphicData>
            </a:graphic>
          </wp:inline>
        </w:drawing>
      </w:r>
    </w:p>
    <w:p w14:paraId="6083807B" w14:textId="77777777" w:rsidR="002D7F6C" w:rsidRDefault="00000000">
      <w:pPr>
        <w:spacing w:before="40" w:after="160"/>
        <w:jc w:val="center"/>
      </w:pPr>
      <w:r>
        <w:rPr>
          <w:rFonts w:ascii="Segoe UI" w:hAnsi="Segoe UI"/>
          <w:i/>
          <w:color w:val="64748B"/>
          <w:sz w:val="16"/>
        </w:rPr>
        <w:t>Figure 3.3: Empirical observation frequency of the top 20 clinical symptoms across the feature manifold.</w:t>
      </w:r>
    </w:p>
    <w:p w14:paraId="2FE4DF61" w14:textId="77777777" w:rsidR="002D7F6C" w:rsidRDefault="00000000">
      <w:pPr>
        <w:keepNext/>
        <w:spacing w:before="180" w:after="60"/>
      </w:pPr>
      <w:r>
        <w:rPr>
          <w:rFonts w:ascii="Segoe UI" w:hAnsi="Segoe UI"/>
          <w:b/>
          <w:color w:val="0F172A"/>
          <w:sz w:val="20"/>
        </w:rPr>
        <w:t>3.3 Longitudinal Epidemiological Surveillance Datasets</w:t>
      </w:r>
    </w:p>
    <w:p w14:paraId="7A5A46E7" w14:textId="77777777" w:rsidR="002D7F6C" w:rsidRDefault="00000000">
      <w:pPr>
        <w:spacing w:after="80"/>
      </w:pPr>
      <w:r>
        <w:rPr>
          <w:rFonts w:ascii="Segoe UI" w:hAnsi="Segoe UI"/>
          <w:color w:val="1E293B"/>
          <w:sz w:val="18"/>
        </w:rPr>
        <w:t>Epidemiological surveillance datasets acquired from the World Health Organization (WHO) capture long-term global pathogen dynamics across three viral and bacterial diseases:</w:t>
      </w:r>
    </w:p>
    <w:p w14:paraId="745F14BC" w14:textId="77777777" w:rsidR="002D7F6C" w:rsidRDefault="00000000">
      <w:pPr>
        <w:pStyle w:val="ListNumber"/>
        <w:spacing w:before="20" w:after="40"/>
      </w:pPr>
      <w:r>
        <w:rPr>
          <w:rFonts w:ascii="Segoe UI" w:hAnsi="Segoe UI"/>
          <w:b/>
          <w:color w:val="1E293B"/>
          <w:sz w:val="18"/>
        </w:rPr>
        <w:t>WHO Measles Surveillance (`measles_who.csv`)</w:t>
      </w:r>
      <w:r>
        <w:rPr>
          <w:rFonts w:ascii="Segoe UI" w:hAnsi="Segoe UI"/>
          <w:color w:val="1E293B"/>
          <w:sz w:val="18"/>
        </w:rPr>
        <w:t>: 1,692 annual surveillance observations across 48 countries spanning 51 years (1974–2024), representing a cumulative historical burden of 29,416,642 reported cases.</w:t>
      </w:r>
    </w:p>
    <w:p w14:paraId="7EAB6435" w14:textId="77777777" w:rsidR="002D7F6C" w:rsidRDefault="00000000">
      <w:pPr>
        <w:pStyle w:val="ListNumber"/>
        <w:spacing w:before="20" w:after="40"/>
      </w:pPr>
      <w:r>
        <w:rPr>
          <w:rFonts w:ascii="Segoe UI" w:hAnsi="Segoe UI"/>
          <w:b/>
          <w:color w:val="1E293B"/>
          <w:sz w:val="18"/>
        </w:rPr>
        <w:t>WHO Yellow Fever Surveillance (`yellow_fever_who.csv`)</w:t>
      </w:r>
      <w:r>
        <w:rPr>
          <w:rFonts w:ascii="Segoe UI" w:hAnsi="Segoe UI"/>
          <w:color w:val="1E293B"/>
          <w:sz w:val="18"/>
        </w:rPr>
        <w:t>: 874 annual records across 47 endemic countries spanning 1974–2024, representing 35,987 documented severe hemorrhagic cases.</w:t>
      </w:r>
    </w:p>
    <w:p w14:paraId="10304576" w14:textId="77777777" w:rsidR="002D7F6C" w:rsidRDefault="00000000">
      <w:pPr>
        <w:pStyle w:val="ListNumber"/>
        <w:spacing w:before="20" w:after="40"/>
      </w:pPr>
      <w:r>
        <w:rPr>
          <w:rFonts w:ascii="Segoe UI" w:hAnsi="Segoe UI"/>
          <w:b/>
          <w:color w:val="1E293B"/>
          <w:sz w:val="18"/>
        </w:rPr>
        <w:t>WHO Cholera Outbreak Data (`cholera_2012_who.csv` to `cholera_2014_who.csv`)</w:t>
      </w:r>
      <w:r>
        <w:rPr>
          <w:rFonts w:ascii="Segoe UI" w:hAnsi="Segoe UI"/>
          <w:color w:val="1E293B"/>
          <w:sz w:val="18"/>
        </w:rPr>
        <w:t>: High-resolution outbreak tracking across 19 countries. Originally formatted in wide matrices (52 weekly columns per country), these were normalized into long-format time series (</w:t>
      </w:r>
      <w:r>
        <w:rPr>
          <w:rFonts w:ascii="Consolas" w:hAnsi="Consolas"/>
          <w:color w:val="0284C7"/>
          <w:sz w:val="16"/>
        </w:rPr>
        <w:t>cholera_2012_long.csv</w:t>
      </w:r>
      <w:r>
        <w:rPr>
          <w:rFonts w:ascii="Segoe UI" w:hAnsi="Segoe UI"/>
          <w:color w:val="1E293B"/>
          <w:sz w:val="18"/>
        </w:rPr>
        <w:t xml:space="preserve">: 988 rows; </w:t>
      </w:r>
      <w:r>
        <w:rPr>
          <w:rFonts w:ascii="Consolas" w:hAnsi="Consolas"/>
          <w:color w:val="0284C7"/>
          <w:sz w:val="16"/>
        </w:rPr>
        <w:t>cholera_2013_long.csv</w:t>
      </w:r>
      <w:r>
        <w:rPr>
          <w:rFonts w:ascii="Segoe UI" w:hAnsi="Segoe UI"/>
          <w:color w:val="1E293B"/>
          <w:sz w:val="18"/>
        </w:rPr>
        <w:t xml:space="preserve">: 936 rows; </w:t>
      </w:r>
      <w:r>
        <w:rPr>
          <w:rFonts w:ascii="Consolas" w:hAnsi="Consolas"/>
          <w:color w:val="0284C7"/>
          <w:sz w:val="16"/>
        </w:rPr>
        <w:t>cholera_2014_long.csv</w:t>
      </w:r>
      <w:r>
        <w:rPr>
          <w:rFonts w:ascii="Segoe UI" w:hAnsi="Segoe UI"/>
          <w:color w:val="1E293B"/>
          <w:sz w:val="18"/>
        </w:rPr>
        <w:t>: 936 rows).</w:t>
      </w:r>
    </w:p>
    <w:p w14:paraId="26E56B41" w14:textId="77777777" w:rsidR="002D7F6C" w:rsidRDefault="00000000">
      <w:pPr>
        <w:keepNext/>
        <w:spacing w:before="160" w:after="40"/>
        <w:jc w:val="center"/>
      </w:pPr>
      <w:r>
        <w:rPr>
          <w:noProof/>
        </w:rPr>
        <w:lastRenderedPageBreak/>
        <w:drawing>
          <wp:inline distT="0" distB="0" distL="0" distR="0" wp14:anchorId="4CEC8B7B" wp14:editId="29AFD53C">
            <wp:extent cx="4754880" cy="2377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sles_trend.png"/>
                    <pic:cNvPicPr/>
                  </pic:nvPicPr>
                  <pic:blipFill>
                    <a:blip r:embed="rId13"/>
                    <a:stretch>
                      <a:fillRect/>
                    </a:stretch>
                  </pic:blipFill>
                  <pic:spPr>
                    <a:xfrm>
                      <a:off x="0" y="0"/>
                      <a:ext cx="4754880" cy="2377440"/>
                    </a:xfrm>
                    <a:prstGeom prst="rect">
                      <a:avLst/>
                    </a:prstGeom>
                  </pic:spPr>
                </pic:pic>
              </a:graphicData>
            </a:graphic>
          </wp:inline>
        </w:drawing>
      </w:r>
    </w:p>
    <w:p w14:paraId="4A50569C" w14:textId="77777777" w:rsidR="002D7F6C" w:rsidRDefault="00000000">
      <w:pPr>
        <w:spacing w:before="40" w:after="160"/>
        <w:jc w:val="center"/>
      </w:pPr>
      <w:r>
        <w:rPr>
          <w:rFonts w:ascii="Segoe UI" w:hAnsi="Segoe UI"/>
          <w:i/>
          <w:color w:val="64748B"/>
          <w:sz w:val="16"/>
        </w:rPr>
        <w:t>Figure 3.4: Longitudinal global measles incidence trend illustrating multi-decadal shifts from 1974 to 2024.</w:t>
      </w:r>
    </w:p>
    <w:p w14:paraId="071768C8" w14:textId="77777777" w:rsidR="002D7F6C" w:rsidRDefault="00000000">
      <w:pPr>
        <w:keepNext/>
        <w:spacing w:before="160" w:after="40"/>
        <w:jc w:val="center"/>
      </w:pPr>
      <w:r>
        <w:rPr>
          <w:noProof/>
        </w:rPr>
        <w:drawing>
          <wp:inline distT="0" distB="0" distL="0" distR="0" wp14:anchorId="599439AF" wp14:editId="2675D514">
            <wp:extent cx="4754880" cy="2377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olera_trends.png"/>
                    <pic:cNvPicPr/>
                  </pic:nvPicPr>
                  <pic:blipFill>
                    <a:blip r:embed="rId14"/>
                    <a:stretch>
                      <a:fillRect/>
                    </a:stretch>
                  </pic:blipFill>
                  <pic:spPr>
                    <a:xfrm>
                      <a:off x="0" y="0"/>
                      <a:ext cx="4754880" cy="2377440"/>
                    </a:xfrm>
                    <a:prstGeom prst="rect">
                      <a:avLst/>
                    </a:prstGeom>
                  </pic:spPr>
                </pic:pic>
              </a:graphicData>
            </a:graphic>
          </wp:inline>
        </w:drawing>
      </w:r>
    </w:p>
    <w:p w14:paraId="281B666C" w14:textId="77777777" w:rsidR="002D7F6C" w:rsidRDefault="00000000">
      <w:pPr>
        <w:spacing w:before="40" w:after="160"/>
        <w:jc w:val="center"/>
      </w:pPr>
      <w:r>
        <w:rPr>
          <w:rFonts w:ascii="Segoe UI" w:hAnsi="Segoe UI"/>
          <w:i/>
          <w:color w:val="64748B"/>
          <w:sz w:val="16"/>
        </w:rPr>
        <w:t>Figure 3.5: Normalized weekly cholera incidence curves demonstrating seasonal surge patterns across epidemiological weeks.</w:t>
      </w:r>
    </w:p>
    <w:p w14:paraId="3E3505B1" w14:textId="77777777" w:rsidR="002D7F6C" w:rsidRDefault="00000000">
      <w:pPr>
        <w:spacing w:after="80"/>
      </w:pPr>
      <w:r>
        <w:rPr>
          <w:rFonts w:ascii="Segoe UI" w:hAnsi="Segoe UI"/>
          <w:color w:val="1E293B"/>
          <w:sz w:val="18"/>
        </w:rPr>
        <w:t>The three series were merged into a unified longitudinal schema (</w:t>
      </w:r>
      <w:r>
        <w:rPr>
          <w:rFonts w:ascii="Consolas" w:hAnsi="Consolas"/>
          <w:color w:val="0284C7"/>
          <w:sz w:val="16"/>
        </w:rPr>
        <w:t>data/processed/epidemiological_trends.csv</w:t>
      </w:r>
      <w:r>
        <w:rPr>
          <w:rFonts w:ascii="Segoe UI" w:hAnsi="Segoe UI"/>
          <w:color w:val="1E293B"/>
          <w:sz w:val="18"/>
        </w:rPr>
        <w:t xml:space="preserve">, 5,426 rows) containing standardized fields: </w:t>
      </w:r>
      <w:r>
        <w:rPr>
          <w:rFonts w:ascii="Consolas" w:hAnsi="Consolas"/>
          <w:color w:val="0284C7"/>
          <w:sz w:val="16"/>
        </w:rPr>
        <w:t>disease</w:t>
      </w:r>
      <w:r>
        <w:rPr>
          <w:rFonts w:ascii="Segoe UI" w:hAnsi="Segoe UI"/>
          <w:color w:val="1E293B"/>
          <w:sz w:val="18"/>
        </w:rPr>
        <w:t xml:space="preserve">, </w:t>
      </w:r>
      <w:r>
        <w:rPr>
          <w:rFonts w:ascii="Consolas" w:hAnsi="Consolas"/>
          <w:color w:val="0284C7"/>
          <w:sz w:val="16"/>
        </w:rPr>
        <w:t>country</w:t>
      </w:r>
      <w:r>
        <w:rPr>
          <w:rFonts w:ascii="Segoe UI" w:hAnsi="Segoe UI"/>
          <w:color w:val="1E293B"/>
          <w:sz w:val="18"/>
        </w:rPr>
        <w:t xml:space="preserve">, </w:t>
      </w:r>
      <w:r>
        <w:rPr>
          <w:rFonts w:ascii="Consolas" w:hAnsi="Consolas"/>
          <w:color w:val="0284C7"/>
          <w:sz w:val="16"/>
        </w:rPr>
        <w:t>who_region</w:t>
      </w:r>
      <w:r>
        <w:rPr>
          <w:rFonts w:ascii="Segoe UI" w:hAnsi="Segoe UI"/>
          <w:color w:val="1E293B"/>
          <w:sz w:val="18"/>
        </w:rPr>
        <w:t xml:space="preserve">, </w:t>
      </w:r>
      <w:r>
        <w:rPr>
          <w:rFonts w:ascii="Consolas" w:hAnsi="Consolas"/>
          <w:color w:val="0284C7"/>
          <w:sz w:val="16"/>
        </w:rPr>
        <w:t>year</w:t>
      </w:r>
      <w:r>
        <w:rPr>
          <w:rFonts w:ascii="Segoe UI" w:hAnsi="Segoe UI"/>
          <w:color w:val="1E293B"/>
          <w:sz w:val="18"/>
        </w:rPr>
        <w:t xml:space="preserve">, </w:t>
      </w:r>
      <w:r>
        <w:rPr>
          <w:rFonts w:ascii="Consolas" w:hAnsi="Consolas"/>
          <w:color w:val="0284C7"/>
          <w:sz w:val="16"/>
        </w:rPr>
        <w:t>temporal_resolution</w:t>
      </w:r>
      <w:r>
        <w:rPr>
          <w:rFonts w:ascii="Segoe UI" w:hAnsi="Segoe UI"/>
          <w:color w:val="1E293B"/>
          <w:sz w:val="18"/>
        </w:rPr>
        <w:t xml:space="preserve">, </w:t>
      </w:r>
      <w:r>
        <w:rPr>
          <w:rFonts w:ascii="Consolas" w:hAnsi="Consolas"/>
          <w:color w:val="0284C7"/>
          <w:sz w:val="16"/>
        </w:rPr>
        <w:t>time_period</w:t>
      </w:r>
      <w:r>
        <w:rPr>
          <w:rFonts w:ascii="Segoe UI" w:hAnsi="Segoe UI"/>
          <w:color w:val="1E293B"/>
          <w:sz w:val="18"/>
        </w:rPr>
        <w:t xml:space="preserve">, </w:t>
      </w:r>
      <w:r>
        <w:rPr>
          <w:rFonts w:ascii="Consolas" w:hAnsi="Consolas"/>
          <w:color w:val="0284C7"/>
          <w:sz w:val="16"/>
        </w:rPr>
        <w:t>reported_cases</w:t>
      </w:r>
      <w:r>
        <w:rPr>
          <w:rFonts w:ascii="Segoe UI" w:hAnsi="Segoe UI"/>
          <w:color w:val="1E293B"/>
          <w:sz w:val="18"/>
        </w:rPr>
        <w:t>, rolling statistics, and anomaly flags.</w:t>
      </w:r>
    </w:p>
    <w:p w14:paraId="13282395" w14:textId="77777777" w:rsidR="002D7F6C" w:rsidRDefault="00000000">
      <w:pPr>
        <w:keepNext/>
        <w:spacing w:before="180" w:after="60"/>
      </w:pPr>
      <w:r>
        <w:rPr>
          <w:rFonts w:ascii="Segoe UI" w:hAnsi="Segoe UI"/>
          <w:b/>
          <w:color w:val="0F172A"/>
          <w:sz w:val="20"/>
        </w:rPr>
        <w:t>3.4 Open Targets Biomedical Associations</w:t>
      </w:r>
    </w:p>
    <w:p w14:paraId="05E9BB29" w14:textId="77777777" w:rsidR="002D7F6C" w:rsidRDefault="00000000">
      <w:pPr>
        <w:spacing w:after="80"/>
      </w:pPr>
      <w:r>
        <w:rPr>
          <w:rFonts w:ascii="Segoe UI" w:hAnsi="Segoe UI"/>
          <w:color w:val="1E293B"/>
          <w:sz w:val="18"/>
        </w:rPr>
        <w:t>Biological target validation data (</w:t>
      </w:r>
      <w:r>
        <w:rPr>
          <w:rFonts w:ascii="Consolas" w:hAnsi="Consolas"/>
          <w:color w:val="0284C7"/>
          <w:sz w:val="16"/>
        </w:rPr>
        <w:t>therapeutic_associations.csv</w:t>
      </w:r>
      <w:r>
        <w:rPr>
          <w:rFonts w:ascii="Segoe UI" w:hAnsi="Segoe UI"/>
          <w:color w:val="1E293B"/>
          <w:sz w:val="18"/>
        </w:rPr>
        <w:t xml:space="preserve">) derived from the Open Targets Platform establishes evidence-backed links between human disease phenotypes and biological drug targets (proteins/genes). The dataset comprises </w:t>
      </w:r>
      <w:r>
        <w:rPr>
          <w:rFonts w:ascii="Segoe UI" w:hAnsi="Segoe UI"/>
          <w:b/>
          <w:color w:val="1E293B"/>
          <w:sz w:val="18"/>
        </w:rPr>
        <w:t>3,636 associations</w:t>
      </w:r>
      <w:r>
        <w:rPr>
          <w:rFonts w:ascii="Segoe UI" w:hAnsi="Segoe UI"/>
          <w:color w:val="1E293B"/>
          <w:sz w:val="18"/>
        </w:rPr>
        <w:t xml:space="preserve"> connecting </w:t>
      </w:r>
      <w:r>
        <w:rPr>
          <w:rFonts w:ascii="Segoe UI" w:hAnsi="Segoe UI"/>
          <w:b/>
          <w:color w:val="1E293B"/>
          <w:sz w:val="18"/>
        </w:rPr>
        <w:t>38 distinct diseases</w:t>
      </w:r>
      <w:r>
        <w:rPr>
          <w:rFonts w:ascii="Segoe UI" w:hAnsi="Segoe UI"/>
          <w:color w:val="1E293B"/>
          <w:sz w:val="18"/>
        </w:rPr>
        <w:t xml:space="preserve"> to </w:t>
      </w:r>
      <w:r>
        <w:rPr>
          <w:rFonts w:ascii="Segoe UI" w:hAnsi="Segoe UI"/>
          <w:b/>
          <w:color w:val="1E293B"/>
          <w:sz w:val="18"/>
        </w:rPr>
        <w:t>2,277 unique target gene symbols</w:t>
      </w:r>
      <w:r>
        <w:rPr>
          <w:rFonts w:ascii="Segoe UI" w:hAnsi="Segoe UI"/>
          <w:color w:val="1E293B"/>
          <w:sz w:val="18"/>
        </w:rPr>
        <w:t>.</w:t>
      </w:r>
    </w:p>
    <w:p w14:paraId="72BDD7ED" w14:textId="77777777" w:rsidR="002D7F6C" w:rsidRDefault="00000000">
      <w:pPr>
        <w:spacing w:after="80"/>
      </w:pPr>
      <w:r>
        <w:rPr>
          <w:rFonts w:ascii="Segoe UI" w:hAnsi="Segoe UI"/>
          <w:color w:val="1E293B"/>
          <w:sz w:val="18"/>
        </w:rPr>
        <w:t>Association scores (</w:t>
      </w:r>
      <w:r>
        <w:rPr>
          <w:rFonts w:ascii="Cambria Math" w:hAnsi="Cambria Math"/>
          <w:i/>
          <w:color w:val="1E293B"/>
          <w:sz w:val="18"/>
        </w:rPr>
        <w:t>S_target ∈ [0.0015, 0.9250]</w:t>
      </w:r>
      <w:r>
        <w:rPr>
          <w:rFonts w:ascii="Segoe UI" w:hAnsi="Segoe UI"/>
          <w:color w:val="1E293B"/>
          <w:sz w:val="18"/>
        </w:rPr>
        <w:t>, Mean: 0.2973, Median: 0.3013) quantify the strength of genetic, somatic, pathway, and animal model evidence linking a gene product to pathology. The dataset exhibits zero missing values and zero duplicate pairs.</w:t>
      </w:r>
    </w:p>
    <w:p w14:paraId="78119C99" w14:textId="77777777" w:rsidR="002D7F6C" w:rsidRDefault="00000000">
      <w:pPr>
        <w:keepNext/>
        <w:spacing w:before="160" w:after="40"/>
        <w:jc w:val="center"/>
      </w:pPr>
      <w:r>
        <w:rPr>
          <w:noProof/>
        </w:rPr>
        <w:lastRenderedPageBreak/>
        <w:drawing>
          <wp:inline distT="0" distB="0" distL="0" distR="0" wp14:anchorId="117C2654" wp14:editId="62D7119F">
            <wp:extent cx="4754880" cy="2377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association_distribution.png"/>
                    <pic:cNvPicPr/>
                  </pic:nvPicPr>
                  <pic:blipFill>
                    <a:blip r:embed="rId15"/>
                    <a:stretch>
                      <a:fillRect/>
                    </a:stretch>
                  </pic:blipFill>
                  <pic:spPr>
                    <a:xfrm>
                      <a:off x="0" y="0"/>
                      <a:ext cx="4754880" cy="2377440"/>
                    </a:xfrm>
                    <a:prstGeom prst="rect">
                      <a:avLst/>
                    </a:prstGeom>
                  </pic:spPr>
                </pic:pic>
              </a:graphicData>
            </a:graphic>
          </wp:inline>
        </w:drawing>
      </w:r>
    </w:p>
    <w:p w14:paraId="56B1A360" w14:textId="77777777" w:rsidR="002D7F6C" w:rsidRDefault="00000000">
      <w:pPr>
        <w:spacing w:before="40" w:after="160"/>
        <w:jc w:val="center"/>
      </w:pPr>
      <w:r>
        <w:rPr>
          <w:rFonts w:ascii="Segoe UI" w:hAnsi="Segoe UI"/>
          <w:i/>
          <w:color w:val="64748B"/>
          <w:sz w:val="16"/>
        </w:rPr>
        <w:t>Figure 3.6: Distribution of disease-target association scores extracted from Open Targets.</w:t>
      </w:r>
    </w:p>
    <w:p w14:paraId="77D57536" w14:textId="77777777" w:rsidR="002D7F6C" w:rsidRDefault="00000000">
      <w:pPr>
        <w:keepNext/>
        <w:spacing w:before="180" w:after="60"/>
      </w:pPr>
      <w:r>
        <w:rPr>
          <w:rFonts w:ascii="Segoe UI" w:hAnsi="Segoe UI"/>
          <w:b/>
          <w:color w:val="0F172A"/>
          <w:sz w:val="20"/>
        </w:rPr>
        <w:t>3.5 ChEMBL Bioactivity Potency and Physicochemical Profiling</w:t>
      </w:r>
    </w:p>
    <w:p w14:paraId="52FE8291" w14:textId="77777777" w:rsidR="002D7F6C" w:rsidRDefault="00000000">
      <w:pPr>
        <w:spacing w:after="80"/>
      </w:pPr>
      <w:r>
        <w:rPr>
          <w:rFonts w:ascii="Segoe UI" w:hAnsi="Segoe UI"/>
          <w:color w:val="1E293B"/>
          <w:sz w:val="18"/>
        </w:rPr>
        <w:t>Pharmacological bioactivity data was extracted from the EMBL-EBI ChEMBL database across two core tables:</w:t>
      </w:r>
    </w:p>
    <w:p w14:paraId="08E3C886" w14:textId="2B9C4E43" w:rsidR="002D7F6C" w:rsidRDefault="00000000" w:rsidP="00F70AF2">
      <w:pPr>
        <w:pStyle w:val="ListNumber"/>
        <w:numPr>
          <w:ilvl w:val="0"/>
          <w:numId w:val="10"/>
        </w:numPr>
        <w:spacing w:before="20" w:after="40"/>
      </w:pPr>
      <w:r w:rsidRPr="00F70AF2">
        <w:rPr>
          <w:rFonts w:ascii="Segoe UI" w:hAnsi="Segoe UI"/>
          <w:b/>
          <w:color w:val="1E293B"/>
          <w:sz w:val="18"/>
        </w:rPr>
        <w:t>Bioactivity Assays (`chembl_activity.csv`)</w:t>
      </w:r>
      <w:r w:rsidRPr="00F70AF2">
        <w:rPr>
          <w:rFonts w:ascii="Segoe UI" w:hAnsi="Segoe UI"/>
          <w:color w:val="1E293B"/>
          <w:sz w:val="18"/>
        </w:rPr>
        <w:t xml:space="preserve">: Contains </w:t>
      </w:r>
      <w:r w:rsidRPr="00F70AF2">
        <w:rPr>
          <w:rFonts w:ascii="Segoe UI" w:hAnsi="Segoe UI"/>
          <w:b/>
          <w:color w:val="1E293B"/>
          <w:sz w:val="18"/>
        </w:rPr>
        <w:t>8,023 measured binding events</w:t>
      </w:r>
      <w:r w:rsidRPr="00F70AF2">
        <w:rPr>
          <w:rFonts w:ascii="Segoe UI" w:hAnsi="Segoe UI"/>
          <w:color w:val="1E293B"/>
          <w:sz w:val="18"/>
        </w:rPr>
        <w:t xml:space="preserve"> across </w:t>
      </w:r>
      <w:r w:rsidRPr="00F70AF2">
        <w:rPr>
          <w:rFonts w:ascii="Segoe UI" w:hAnsi="Segoe UI"/>
          <w:b/>
          <w:color w:val="1E293B"/>
          <w:sz w:val="18"/>
        </w:rPr>
        <w:t>166 biological targets</w:t>
      </w:r>
      <w:r w:rsidRPr="00F70AF2">
        <w:rPr>
          <w:rFonts w:ascii="Segoe UI" w:hAnsi="Segoe UI"/>
          <w:color w:val="1E293B"/>
          <w:sz w:val="18"/>
        </w:rPr>
        <w:t xml:space="preserve"> and </w:t>
      </w:r>
      <w:r w:rsidRPr="00F70AF2">
        <w:rPr>
          <w:rFonts w:ascii="Segoe UI" w:hAnsi="Segoe UI"/>
          <w:b/>
          <w:color w:val="1E293B"/>
          <w:sz w:val="18"/>
        </w:rPr>
        <w:t>6,319 small molecules</w:t>
      </w:r>
      <w:r w:rsidRPr="00F70AF2">
        <w:rPr>
          <w:rFonts w:ascii="Segoe UI" w:hAnsi="Segoe UI"/>
          <w:color w:val="1E293B"/>
          <w:sz w:val="18"/>
        </w:rPr>
        <w:t xml:space="preserve">. The affinity endpoint is standardized as </w:t>
      </w:r>
      <w:r w:rsidRPr="00F70AF2">
        <w:rPr>
          <w:rFonts w:ascii="Cambria Math" w:hAnsi="Cambria Math"/>
          <w:i/>
          <w:color w:val="1E293B"/>
          <w:sz w:val="18"/>
        </w:rPr>
        <w:t>pChEMBL</w:t>
      </w:r>
      <w:r w:rsidRPr="00F70AF2">
        <w:rPr>
          <w:rFonts w:ascii="Segoe UI" w:hAnsi="Segoe UI"/>
          <w:color w:val="1E293B"/>
          <w:sz w:val="18"/>
        </w:rPr>
        <w:t>:</w:t>
      </w:r>
    </w:p>
    <w:p w14:paraId="259079F9" w14:textId="0692EA86" w:rsidR="002D7F6C" w:rsidRPr="00624455" w:rsidRDefault="00624455">
      <w:pPr>
        <w:spacing w:after="80"/>
        <w:rPr>
          <w:rFonts w:ascii="Segoe UI" w:hAnsi="Segoe UI" w:cs="Segoe UI"/>
          <w:sz w:val="18"/>
          <w:szCs w:val="18"/>
        </w:rPr>
      </w:pPr>
      <w:r w:rsidRPr="00624455">
        <w:rPr>
          <w:rFonts w:ascii="Segoe UI" w:hAnsi="Segoe UI" w:cs="Segoe UI"/>
          <w:sz w:val="18"/>
          <w:szCs w:val="18"/>
        </w:rPr>
        <w:t>pChEMBL = -log10(Molar Potency)</w:t>
      </w:r>
    </w:p>
    <w:p w14:paraId="32A40F43" w14:textId="77777777" w:rsidR="002D7F6C" w:rsidRDefault="00000000">
      <w:pPr>
        <w:spacing w:after="80"/>
      </w:pPr>
      <w:r>
        <w:rPr>
          <w:rFonts w:ascii="Segoe UI" w:hAnsi="Segoe UI"/>
          <w:color w:val="1E293B"/>
          <w:sz w:val="18"/>
        </w:rPr>
        <w:t xml:space="preserve">Supported experimental endpoints include </w:t>
      </w:r>
      <w:r>
        <w:rPr>
          <w:rFonts w:ascii="Cambria Math" w:hAnsi="Cambria Math"/>
          <w:i/>
          <w:color w:val="1E293B"/>
          <w:sz w:val="18"/>
        </w:rPr>
        <w:t>IC_50</w:t>
      </w:r>
      <w:r>
        <w:rPr>
          <w:rFonts w:ascii="Segoe UI" w:hAnsi="Segoe UI"/>
          <w:color w:val="1E293B"/>
          <w:sz w:val="18"/>
        </w:rPr>
        <w:t xml:space="preserve">, </w:t>
      </w:r>
      <w:r>
        <w:rPr>
          <w:rFonts w:ascii="Cambria Math" w:hAnsi="Cambria Math"/>
          <w:i/>
          <w:color w:val="1E293B"/>
          <w:sz w:val="18"/>
        </w:rPr>
        <w:t>K_i</w:t>
      </w:r>
      <w:r>
        <w:rPr>
          <w:rFonts w:ascii="Segoe UI" w:hAnsi="Segoe UI"/>
          <w:color w:val="1E293B"/>
          <w:sz w:val="18"/>
        </w:rPr>
        <w:t xml:space="preserve">, </w:t>
      </w:r>
      <w:r>
        <w:rPr>
          <w:rFonts w:ascii="Cambria Math" w:hAnsi="Cambria Math"/>
          <w:i/>
          <w:color w:val="1E293B"/>
          <w:sz w:val="18"/>
        </w:rPr>
        <w:t>EC_50</w:t>
      </w:r>
      <w:r>
        <w:rPr>
          <w:rFonts w:ascii="Segoe UI" w:hAnsi="Segoe UI"/>
          <w:color w:val="1E293B"/>
          <w:sz w:val="18"/>
        </w:rPr>
        <w:t xml:space="preserve">, and </w:t>
      </w:r>
      <w:r>
        <w:rPr>
          <w:rFonts w:ascii="Cambria Math" w:hAnsi="Cambria Math"/>
          <w:i/>
          <w:color w:val="1E293B"/>
          <w:sz w:val="18"/>
        </w:rPr>
        <w:t>K_d</w:t>
      </w:r>
      <w:r>
        <w:rPr>
          <w:rFonts w:ascii="Segoe UI" w:hAnsi="Segoe UI"/>
          <w:color w:val="1E293B"/>
          <w:sz w:val="18"/>
        </w:rPr>
        <w:t xml:space="preserve">. The empirical distribution ranges from 2.19 to 11.34 with a </w:t>
      </w:r>
      <w:r>
        <w:rPr>
          <w:rFonts w:ascii="Segoe UI" w:hAnsi="Segoe UI"/>
          <w:b/>
          <w:color w:val="1E293B"/>
          <w:sz w:val="18"/>
        </w:rPr>
        <w:t>mean of 7.80</w:t>
      </w:r>
      <w:r>
        <w:rPr>
          <w:rFonts w:ascii="Segoe UI" w:hAnsi="Segoe UI"/>
          <w:color w:val="1E293B"/>
          <w:sz w:val="18"/>
        </w:rPr>
        <w:t xml:space="preserve"> (representing nanomolar to sub-micromolar potency).</w:t>
      </w:r>
    </w:p>
    <w:p w14:paraId="5AEA53F5" w14:textId="77777777" w:rsidR="002D7F6C" w:rsidRDefault="00000000">
      <w:pPr>
        <w:pStyle w:val="ListNumber"/>
        <w:spacing w:before="20" w:after="40"/>
      </w:pPr>
      <w:r>
        <w:rPr>
          <w:rFonts w:ascii="Segoe UI" w:hAnsi="Segoe UI"/>
          <w:b/>
          <w:color w:val="1E293B"/>
          <w:sz w:val="18"/>
        </w:rPr>
        <w:t>Physicochemical Properties (`chembl_molecules.csv`)</w:t>
      </w:r>
      <w:r>
        <w:rPr>
          <w:rFonts w:ascii="Segoe UI" w:hAnsi="Segoe UI"/>
          <w:color w:val="1E293B"/>
          <w:sz w:val="18"/>
        </w:rPr>
        <w:t xml:space="preserve">: Contains structural and physicochemical descriptors for </w:t>
      </w:r>
      <w:r>
        <w:rPr>
          <w:rFonts w:ascii="Segoe UI" w:hAnsi="Segoe UI"/>
          <w:b/>
          <w:color w:val="1E293B"/>
          <w:sz w:val="18"/>
        </w:rPr>
        <w:t>6,319 unique compounds</w:t>
      </w:r>
      <w:r>
        <w:rPr>
          <w:rFonts w:ascii="Segoe UI" w:hAnsi="Segoe UI"/>
          <w:color w:val="1E293B"/>
          <w:sz w:val="18"/>
        </w:rPr>
        <w:t xml:space="preserve"> to evaluate oral drug-likeness according to Lipinski's Rule of 5 and Veber's parameters:</w:t>
      </w:r>
    </w:p>
    <w:p w14:paraId="6AA3B6F1" w14:textId="77777777" w:rsidR="002D7F6C" w:rsidRDefault="00000000">
      <w:pPr>
        <w:pStyle w:val="ListBullet"/>
        <w:spacing w:before="20" w:after="40"/>
        <w:ind w:left="576"/>
      </w:pPr>
      <w:r>
        <w:rPr>
          <w:rFonts w:ascii="Segoe UI" w:hAnsi="Segoe UI"/>
          <w:b/>
          <w:color w:val="1E293B"/>
          <w:sz w:val="18"/>
        </w:rPr>
        <w:t>Molecular Weight (MW)</w:t>
      </w:r>
      <w:r>
        <w:rPr>
          <w:rFonts w:ascii="Segoe UI" w:hAnsi="Segoe UI"/>
          <w:color w:val="1E293B"/>
          <w:sz w:val="18"/>
        </w:rPr>
        <w:t xml:space="preserve">: Mean = 563.71 Da; 64.2% conform to </w:t>
      </w:r>
      <w:r>
        <w:rPr>
          <w:rFonts w:ascii="Cambria Math" w:hAnsi="Cambria Math"/>
          <w:i/>
          <w:color w:val="1E293B"/>
          <w:sz w:val="18"/>
        </w:rPr>
        <w:t>MW ≤ 500 Da</w:t>
      </w:r>
      <w:r>
        <w:rPr>
          <w:rFonts w:ascii="Segoe UI" w:hAnsi="Segoe UI"/>
          <w:color w:val="1E293B"/>
          <w:sz w:val="18"/>
        </w:rPr>
        <w:t>.</w:t>
      </w:r>
    </w:p>
    <w:p w14:paraId="25AE2CB2" w14:textId="77777777" w:rsidR="002D7F6C" w:rsidRDefault="00000000">
      <w:pPr>
        <w:pStyle w:val="ListBullet"/>
        <w:spacing w:before="20" w:after="40"/>
        <w:ind w:left="576"/>
      </w:pPr>
      <w:r>
        <w:rPr>
          <w:rFonts w:ascii="Segoe UI" w:hAnsi="Segoe UI"/>
          <w:b/>
          <w:color w:val="1E293B"/>
          <w:sz w:val="18"/>
        </w:rPr>
        <w:t>Lipophilicity (ALogP)</w:t>
      </w:r>
      <w:r>
        <w:rPr>
          <w:rFonts w:ascii="Segoe UI" w:hAnsi="Segoe UI"/>
          <w:color w:val="1E293B"/>
          <w:sz w:val="18"/>
        </w:rPr>
        <w:t xml:space="preserve">: Mean = 3.93; 74.3% conform to </w:t>
      </w:r>
      <w:r>
        <w:rPr>
          <w:rFonts w:ascii="Cambria Math" w:hAnsi="Cambria Math"/>
          <w:i/>
          <w:color w:val="1E293B"/>
          <w:sz w:val="18"/>
        </w:rPr>
        <w:t>ALogP ≤ 5.0</w:t>
      </w:r>
      <w:r>
        <w:rPr>
          <w:rFonts w:ascii="Segoe UI" w:hAnsi="Segoe UI"/>
          <w:color w:val="1E293B"/>
          <w:sz w:val="18"/>
        </w:rPr>
        <w:t>.</w:t>
      </w:r>
    </w:p>
    <w:p w14:paraId="25F566C8" w14:textId="77777777" w:rsidR="002D7F6C" w:rsidRDefault="00000000">
      <w:pPr>
        <w:pStyle w:val="ListBullet"/>
        <w:spacing w:before="20" w:after="40"/>
        <w:ind w:left="576"/>
      </w:pPr>
      <w:r>
        <w:rPr>
          <w:rFonts w:ascii="Segoe UI" w:hAnsi="Segoe UI"/>
          <w:b/>
          <w:color w:val="1E293B"/>
          <w:sz w:val="18"/>
        </w:rPr>
        <w:t>Polar Surface Area (PSA)</w:t>
      </w:r>
      <w:r>
        <w:rPr>
          <w:rFonts w:ascii="Segoe UI" w:hAnsi="Segoe UI"/>
          <w:color w:val="1E293B"/>
          <w:sz w:val="18"/>
        </w:rPr>
        <w:t xml:space="preserve">: Mean = 91.32 Å²; 89.9% conform to </w:t>
      </w:r>
      <w:r>
        <w:rPr>
          <w:rFonts w:ascii="Cambria Math" w:hAnsi="Cambria Math"/>
          <w:i/>
          <w:color w:val="1E293B"/>
          <w:sz w:val="18"/>
        </w:rPr>
        <w:t>PSA ≤ 140 Å²</w:t>
      </w:r>
      <w:r>
        <w:rPr>
          <w:rFonts w:ascii="Segoe UI" w:hAnsi="Segoe UI"/>
          <w:color w:val="1E293B"/>
          <w:sz w:val="18"/>
        </w:rPr>
        <w:t>.</w:t>
      </w:r>
    </w:p>
    <w:p w14:paraId="5274D063" w14:textId="77777777" w:rsidR="002D7F6C" w:rsidRDefault="00000000">
      <w:pPr>
        <w:pStyle w:val="ListBullet"/>
        <w:spacing w:before="20" w:after="40"/>
        <w:ind w:left="576"/>
      </w:pPr>
      <w:r>
        <w:rPr>
          <w:rFonts w:ascii="Segoe UI" w:hAnsi="Segoe UI"/>
          <w:b/>
          <w:color w:val="1E293B"/>
          <w:sz w:val="18"/>
        </w:rPr>
        <w:t>Hydrogen Bond Donors/Acceptors</w:t>
      </w:r>
      <w:r>
        <w:rPr>
          <w:rFonts w:ascii="Segoe UI" w:hAnsi="Segoe UI"/>
          <w:color w:val="1E293B"/>
          <w:sz w:val="18"/>
        </w:rPr>
        <w:t xml:space="preserve">: HBD </w:t>
      </w:r>
      <w:r>
        <w:rPr>
          <w:rFonts w:ascii="Cambria Math" w:hAnsi="Cambria Math"/>
          <w:i/>
          <w:color w:val="1E293B"/>
          <w:sz w:val="18"/>
        </w:rPr>
        <w:t>≤ 5</w:t>
      </w:r>
      <w:r>
        <w:rPr>
          <w:rFonts w:ascii="Segoe UI" w:hAnsi="Segoe UI"/>
          <w:color w:val="1E293B"/>
          <w:sz w:val="18"/>
        </w:rPr>
        <w:t xml:space="preserve"> (95.1%), HBA </w:t>
      </w:r>
      <w:r>
        <w:rPr>
          <w:rFonts w:ascii="Cambria Math" w:hAnsi="Cambria Math"/>
          <w:i/>
          <w:color w:val="1E293B"/>
          <w:sz w:val="18"/>
        </w:rPr>
        <w:t>≤ 10</w:t>
      </w:r>
      <w:r>
        <w:rPr>
          <w:rFonts w:ascii="Segoe UI" w:hAnsi="Segoe UI"/>
          <w:color w:val="1E293B"/>
          <w:sz w:val="18"/>
        </w:rPr>
        <w:t xml:space="preserve"> (86.4%).</w:t>
      </w:r>
    </w:p>
    <w:p w14:paraId="666B359D" w14:textId="77777777" w:rsidR="002D7F6C" w:rsidRDefault="00000000">
      <w:pPr>
        <w:spacing w:after="80"/>
      </w:pPr>
      <w:r>
        <w:rPr>
          <w:rFonts w:ascii="Segoe UI" w:hAnsi="Segoe UI"/>
          <w:color w:val="1E293B"/>
          <w:sz w:val="18"/>
        </w:rPr>
        <w:t xml:space="preserve">Additionally, ChEMBL records </w:t>
      </w:r>
      <w:r>
        <w:rPr>
          <w:rFonts w:ascii="Consolas" w:hAnsi="Consolas"/>
          <w:color w:val="0284C7"/>
          <w:sz w:val="16"/>
        </w:rPr>
        <w:t>max_phase</w:t>
      </w:r>
      <w:r>
        <w:rPr>
          <w:rFonts w:ascii="Segoe UI" w:hAnsi="Segoe UI"/>
          <w:color w:val="1E293B"/>
          <w:sz w:val="18"/>
        </w:rPr>
        <w:t xml:space="preserve">, denoting the highest global developmental phase reached by the molecule across any indication worldwide. Crucially, </w:t>
      </w:r>
      <w:r>
        <w:rPr>
          <w:rFonts w:ascii="Consolas" w:hAnsi="Consolas"/>
          <w:color w:val="0284C7"/>
          <w:sz w:val="16"/>
        </w:rPr>
        <w:t>max_phase</w:t>
      </w:r>
      <w:r>
        <w:rPr>
          <w:rFonts w:ascii="Segoe UI" w:hAnsi="Segoe UI"/>
          <w:color w:val="1E293B"/>
          <w:sz w:val="18"/>
        </w:rPr>
        <w:t xml:space="preserve"> represents global molecule-level development maturity, not disease-specific regulatory approval for the condition being evaluated.</w:t>
      </w:r>
    </w:p>
    <w:p w14:paraId="39F4A519" w14:textId="77777777" w:rsidR="002D7F6C" w:rsidRDefault="00000000">
      <w:pPr>
        <w:keepNext/>
        <w:spacing w:before="160" w:after="40"/>
        <w:jc w:val="center"/>
      </w:pPr>
      <w:r>
        <w:rPr>
          <w:noProof/>
        </w:rPr>
        <w:drawing>
          <wp:inline distT="0" distB="0" distL="0" distR="0" wp14:anchorId="6FCBE7EF" wp14:editId="7C8DC098">
            <wp:extent cx="4754880" cy="2377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mbl_pchembl_distribution.png"/>
                    <pic:cNvPicPr/>
                  </pic:nvPicPr>
                  <pic:blipFill>
                    <a:blip r:embed="rId16"/>
                    <a:stretch>
                      <a:fillRect/>
                    </a:stretch>
                  </pic:blipFill>
                  <pic:spPr>
                    <a:xfrm>
                      <a:off x="0" y="0"/>
                      <a:ext cx="4754880" cy="2377440"/>
                    </a:xfrm>
                    <a:prstGeom prst="rect">
                      <a:avLst/>
                    </a:prstGeom>
                  </pic:spPr>
                </pic:pic>
              </a:graphicData>
            </a:graphic>
          </wp:inline>
        </w:drawing>
      </w:r>
    </w:p>
    <w:p w14:paraId="796E7A7C" w14:textId="77777777" w:rsidR="002D7F6C" w:rsidRDefault="00000000">
      <w:pPr>
        <w:spacing w:before="40" w:after="160"/>
        <w:jc w:val="center"/>
      </w:pPr>
      <w:r>
        <w:rPr>
          <w:rFonts w:ascii="Segoe UI" w:hAnsi="Segoe UI"/>
          <w:i/>
          <w:color w:val="64748B"/>
          <w:sz w:val="16"/>
        </w:rPr>
        <w:t>Figure 3.7: Empirical distribution of standardized pChEMBL affinity values across tested assays.</w:t>
      </w:r>
    </w:p>
    <w:p w14:paraId="1E5DCF0D" w14:textId="77777777" w:rsidR="002D7F6C" w:rsidRDefault="00000000">
      <w:pPr>
        <w:keepNext/>
        <w:spacing w:before="160" w:after="40"/>
        <w:jc w:val="center"/>
      </w:pPr>
      <w:r>
        <w:rPr>
          <w:noProof/>
        </w:rPr>
        <w:lastRenderedPageBreak/>
        <w:drawing>
          <wp:inline distT="0" distB="0" distL="0" distR="0" wp14:anchorId="65228253" wp14:editId="77EE94C6">
            <wp:extent cx="4754880" cy="2377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lecular_weight_distribution.png"/>
                    <pic:cNvPicPr/>
                  </pic:nvPicPr>
                  <pic:blipFill>
                    <a:blip r:embed="rId17"/>
                    <a:stretch>
                      <a:fillRect/>
                    </a:stretch>
                  </pic:blipFill>
                  <pic:spPr>
                    <a:xfrm>
                      <a:off x="0" y="0"/>
                      <a:ext cx="4754880" cy="2377440"/>
                    </a:xfrm>
                    <a:prstGeom prst="rect">
                      <a:avLst/>
                    </a:prstGeom>
                  </pic:spPr>
                </pic:pic>
              </a:graphicData>
            </a:graphic>
          </wp:inline>
        </w:drawing>
      </w:r>
    </w:p>
    <w:p w14:paraId="0FDCDDB3" w14:textId="77777777" w:rsidR="002D7F6C" w:rsidRDefault="00000000">
      <w:pPr>
        <w:spacing w:before="40" w:after="160"/>
        <w:jc w:val="center"/>
      </w:pPr>
      <w:r>
        <w:rPr>
          <w:rFonts w:ascii="Segoe UI" w:hAnsi="Segoe UI"/>
          <w:i/>
          <w:color w:val="64748B"/>
          <w:sz w:val="16"/>
        </w:rPr>
        <w:t>Figure 3.8: Molecular weight distribution of candidate compounds benchmarked against the Lipinski 500 Da baseline.</w:t>
      </w:r>
    </w:p>
    <w:p w14:paraId="2731C371" w14:textId="77777777" w:rsidR="002D7F6C" w:rsidRDefault="00000000">
      <w:pPr>
        <w:keepNext/>
        <w:spacing w:before="180" w:after="60"/>
      </w:pPr>
      <w:r>
        <w:rPr>
          <w:rFonts w:ascii="Segoe UI" w:hAnsi="Segoe UI"/>
          <w:b/>
          <w:color w:val="0F172A"/>
          <w:sz w:val="20"/>
        </w:rPr>
        <w:t>3.6 FDA Drug Approval Timeline and Entity Resolution</w:t>
      </w:r>
    </w:p>
    <w:p w14:paraId="3B238E5B" w14:textId="77777777" w:rsidR="002D7F6C" w:rsidRDefault="00000000">
      <w:pPr>
        <w:spacing w:after="80"/>
      </w:pPr>
      <w:r>
        <w:rPr>
          <w:rFonts w:ascii="Segoe UI" w:hAnsi="Segoe UI"/>
          <w:color w:val="1E293B"/>
          <w:sz w:val="18"/>
        </w:rPr>
        <w:t>The regulatory benchmark dataset (</w:t>
      </w:r>
      <w:r>
        <w:rPr>
          <w:rFonts w:ascii="Consolas" w:hAnsi="Consolas"/>
          <w:color w:val="0284C7"/>
          <w:sz w:val="16"/>
        </w:rPr>
        <w:t>fda_drug_approval_timeline.csv</w:t>
      </w:r>
      <w:r>
        <w:rPr>
          <w:rFonts w:ascii="Segoe UI" w:hAnsi="Segoe UI"/>
          <w:color w:val="1E293B"/>
          <w:sz w:val="18"/>
        </w:rPr>
        <w:t>) was constructed from official Drugs@FDA source tables (</w:t>
      </w:r>
      <w:r>
        <w:rPr>
          <w:rFonts w:ascii="Consolas" w:hAnsi="Consolas"/>
          <w:color w:val="0284C7"/>
          <w:sz w:val="16"/>
        </w:rPr>
        <w:t>Products.txt</w:t>
      </w:r>
      <w:r>
        <w:rPr>
          <w:rFonts w:ascii="Segoe UI" w:hAnsi="Segoe UI"/>
          <w:color w:val="1E293B"/>
          <w:sz w:val="18"/>
        </w:rPr>
        <w:t xml:space="preserve">, </w:t>
      </w:r>
      <w:r>
        <w:rPr>
          <w:rFonts w:ascii="Consolas" w:hAnsi="Consolas"/>
          <w:color w:val="0284C7"/>
          <w:sz w:val="16"/>
        </w:rPr>
        <w:t>Application.txt</w:t>
      </w:r>
      <w:r>
        <w:rPr>
          <w:rFonts w:ascii="Segoe UI" w:hAnsi="Segoe UI"/>
          <w:color w:val="1E293B"/>
          <w:sz w:val="18"/>
        </w:rPr>
        <w:t xml:space="preserve">, </w:t>
      </w:r>
      <w:r>
        <w:rPr>
          <w:rFonts w:ascii="Consolas" w:hAnsi="Consolas"/>
          <w:color w:val="0284C7"/>
          <w:sz w:val="16"/>
        </w:rPr>
        <w:t>TE.txt</w:t>
      </w:r>
      <w:r>
        <w:rPr>
          <w:rFonts w:ascii="Segoe UI" w:hAnsi="Segoe UI"/>
          <w:color w:val="1E293B"/>
          <w:sz w:val="18"/>
        </w:rPr>
        <w:t xml:space="preserve">). It comprises </w:t>
      </w:r>
      <w:r>
        <w:rPr>
          <w:rFonts w:ascii="Segoe UI" w:hAnsi="Segoe UI"/>
          <w:b/>
          <w:color w:val="1E293B"/>
          <w:sz w:val="18"/>
        </w:rPr>
        <w:t>12,243 approved product records</w:t>
      </w:r>
      <w:r>
        <w:rPr>
          <w:rFonts w:ascii="Segoe UI" w:hAnsi="Segoe UI"/>
          <w:color w:val="1E293B"/>
          <w:sz w:val="18"/>
        </w:rPr>
        <w:t xml:space="preserve"> covering </w:t>
      </w:r>
      <w:r>
        <w:rPr>
          <w:rFonts w:ascii="Segoe UI" w:hAnsi="Segoe UI"/>
          <w:b/>
          <w:color w:val="1E293B"/>
          <w:sz w:val="18"/>
        </w:rPr>
        <w:t>6,327 New Drug Applications (NDAs)</w:t>
      </w:r>
      <w:r>
        <w:rPr>
          <w:rFonts w:ascii="Segoe UI" w:hAnsi="Segoe UI"/>
          <w:color w:val="1E293B"/>
          <w:sz w:val="18"/>
        </w:rPr>
        <w:t xml:space="preserve"> and </w:t>
      </w:r>
      <w:r>
        <w:rPr>
          <w:rFonts w:ascii="Segoe UI" w:hAnsi="Segoe UI"/>
          <w:b/>
          <w:color w:val="1E293B"/>
          <w:sz w:val="18"/>
        </w:rPr>
        <w:t>3,142 unique active ingredients</w:t>
      </w:r>
      <w:r>
        <w:rPr>
          <w:rFonts w:ascii="Segoe UI" w:hAnsi="Segoe UI"/>
          <w:color w:val="1E293B"/>
          <w:sz w:val="18"/>
        </w:rPr>
        <w:t xml:space="preserve"> approved between </w:t>
      </w:r>
      <w:r>
        <w:rPr>
          <w:rFonts w:ascii="Segoe UI" w:hAnsi="Segoe UI"/>
          <w:b/>
          <w:color w:val="1E293B"/>
          <w:sz w:val="18"/>
        </w:rPr>
        <w:t>1939 and 2026</w:t>
      </w:r>
      <w:r>
        <w:rPr>
          <w:rFonts w:ascii="Segoe UI" w:hAnsi="Segoe UI"/>
          <w:color w:val="1E293B"/>
          <w:sz w:val="18"/>
        </w:rPr>
        <w:t>.</w:t>
      </w:r>
    </w:p>
    <w:p w14:paraId="5E191DC3" w14:textId="77777777" w:rsidR="002D7F6C" w:rsidRDefault="00000000">
      <w:pPr>
        <w:spacing w:after="80"/>
      </w:pPr>
      <w:r>
        <w:rPr>
          <w:rFonts w:ascii="Segoe UI" w:hAnsi="Segoe UI"/>
          <w:color w:val="1E293B"/>
          <w:sz w:val="18"/>
        </w:rPr>
        <w:t xml:space="preserve">A total of </w:t>
      </w:r>
      <w:r>
        <w:rPr>
          <w:rFonts w:ascii="Segoe UI" w:hAnsi="Segoe UI"/>
          <w:b/>
          <w:color w:val="1E293B"/>
          <w:sz w:val="18"/>
        </w:rPr>
        <w:t>749 records (6.12%)</w:t>
      </w:r>
      <w:r>
        <w:rPr>
          <w:rFonts w:ascii="Segoe UI" w:hAnsi="Segoe UI"/>
          <w:color w:val="1E293B"/>
          <w:sz w:val="18"/>
        </w:rPr>
        <w:t xml:space="preserve"> lack an explicit initial approval year in the source tables; these are retained in inventory tables but excluded from temporal regression to preserve date integrity.</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7F42B9B" w14:textId="77777777">
        <w:trPr>
          <w:jc w:val="center"/>
        </w:trPr>
        <w:tc>
          <w:tcPr>
            <w:tcW w:w="9749" w:type="dxa"/>
            <w:shd w:val="clear" w:color="auto" w:fill="F8FAFC"/>
            <w:tcMar>
              <w:top w:w="90" w:type="dxa"/>
              <w:left w:w="130" w:type="dxa"/>
              <w:bottom w:w="90" w:type="dxa"/>
              <w:right w:w="130" w:type="dxa"/>
            </w:tcMar>
          </w:tcPr>
          <w:p w14:paraId="0497A07A" w14:textId="77777777" w:rsidR="002D7F6C" w:rsidRDefault="00000000">
            <w:pPr>
              <w:spacing w:after="0"/>
            </w:pPr>
            <w:r>
              <w:rPr>
                <w:rFonts w:ascii="Consolas" w:hAnsi="Consolas"/>
                <w:color w:val="1E293B"/>
                <w:sz w:val="15"/>
              </w:rPr>
              <w:t>Entity Resolution Pipeline:</w:t>
            </w:r>
            <w:r>
              <w:rPr>
                <w:rFonts w:ascii="Consolas" w:hAnsi="Consolas"/>
                <w:color w:val="1E293B"/>
                <w:sz w:val="15"/>
              </w:rPr>
              <w:br/>
              <w:t>Input Active Ingredients: 3,142 Names -&gt; ChEMBL REST Entity Mapping</w:t>
            </w:r>
            <w:r>
              <w:rPr>
                <w:rFonts w:ascii="Consolas" w:hAnsi="Consolas"/>
                <w:color w:val="1E293B"/>
                <w:sz w:val="15"/>
              </w:rPr>
              <w:br/>
              <w:t>1. Exact Preferred Name Match:           2,147 ingredients (68.33%)</w:t>
            </w:r>
            <w:r>
              <w:rPr>
                <w:rFonts w:ascii="Consolas" w:hAnsi="Consolas"/>
                <w:color w:val="1E293B"/>
                <w:sz w:val="15"/>
              </w:rPr>
              <w:br/>
              <w:t>2. Multi-Component Exact Match:            599 ingredients (19.06%)</w:t>
            </w:r>
            <w:r>
              <w:rPr>
                <w:rFonts w:ascii="Consolas" w:hAnsi="Consolas"/>
                <w:color w:val="1E293B"/>
                <w:sz w:val="15"/>
              </w:rPr>
              <w:br/>
              <w:t>3. Exact Synonym Match:                    299 ingredients  (9.52%)</w:t>
            </w:r>
            <w:r>
              <w:rPr>
                <w:rFonts w:ascii="Consolas" w:hAnsi="Consolas"/>
                <w:color w:val="1E293B"/>
                <w:sz w:val="15"/>
              </w:rPr>
              <w:br/>
              <w:t>4. Multi-Component Partial Match:            9 ingredients  (0.29%)</w:t>
            </w:r>
            <w:r>
              <w:rPr>
                <w:rFonts w:ascii="Consolas" w:hAnsi="Consolas"/>
                <w:color w:val="1E293B"/>
                <w:sz w:val="15"/>
              </w:rPr>
              <w:br/>
              <w:t>5. Salt-Stripped Base Name Match:            5 ingredients  (0.16%)</w:t>
            </w:r>
            <w:r>
              <w:rPr>
                <w:rFonts w:ascii="Consolas" w:hAnsi="Consolas"/>
                <w:color w:val="1E293B"/>
                <w:sz w:val="15"/>
              </w:rPr>
              <w:br/>
              <w:t>------------------------------------------------------------------</w:t>
            </w:r>
            <w:r>
              <w:rPr>
                <w:rFonts w:ascii="Consolas" w:hAnsi="Consolas"/>
                <w:color w:val="1E293B"/>
                <w:sz w:val="15"/>
              </w:rPr>
              <w:br/>
              <w:t>Total Successfully Resolved:             3,059 of 3,142 ingredients (97.36%)</w:t>
            </w:r>
            <w:r>
              <w:rPr>
                <w:rFonts w:ascii="Consolas" w:hAnsi="Consolas"/>
                <w:color w:val="1E293B"/>
                <w:sz w:val="15"/>
              </w:rPr>
              <w:br/>
              <w:t>Unmatched Candidates (Audited):             83 ingredients  (2.64%)</w:t>
            </w:r>
          </w:p>
        </w:tc>
      </w:tr>
    </w:tbl>
    <w:p w14:paraId="7D39B77D" w14:textId="77777777" w:rsidR="002D7F6C" w:rsidRDefault="002D7F6C">
      <w:pPr>
        <w:spacing w:after="80"/>
      </w:pPr>
    </w:p>
    <w:p w14:paraId="2A4142FA" w14:textId="77777777" w:rsidR="002D7F6C" w:rsidRDefault="00000000">
      <w:pPr>
        <w:keepNext/>
        <w:spacing w:before="160" w:after="40"/>
        <w:jc w:val="center"/>
      </w:pPr>
      <w:r>
        <w:rPr>
          <w:noProof/>
        </w:rPr>
        <w:drawing>
          <wp:inline distT="0" distB="0" distL="0" distR="0" wp14:anchorId="16CE5BFB" wp14:editId="05AB5CF7">
            <wp:extent cx="4754880" cy="2377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a_approval_timeline.png"/>
                    <pic:cNvPicPr/>
                  </pic:nvPicPr>
                  <pic:blipFill>
                    <a:blip r:embed="rId18"/>
                    <a:stretch>
                      <a:fillRect/>
                    </a:stretch>
                  </pic:blipFill>
                  <pic:spPr>
                    <a:xfrm>
                      <a:off x="0" y="0"/>
                      <a:ext cx="4754880" cy="2377440"/>
                    </a:xfrm>
                    <a:prstGeom prst="rect">
                      <a:avLst/>
                    </a:prstGeom>
                  </pic:spPr>
                </pic:pic>
              </a:graphicData>
            </a:graphic>
          </wp:inline>
        </w:drawing>
      </w:r>
    </w:p>
    <w:p w14:paraId="24B3415F" w14:textId="77777777" w:rsidR="002D7F6C" w:rsidRDefault="00000000">
      <w:pPr>
        <w:spacing w:before="40" w:after="160"/>
        <w:jc w:val="center"/>
      </w:pPr>
      <w:r>
        <w:rPr>
          <w:rFonts w:ascii="Segoe UI" w:hAnsi="Segoe UI"/>
          <w:i/>
          <w:color w:val="64748B"/>
          <w:sz w:val="16"/>
        </w:rPr>
        <w:t>Figure 3.9: Annual FDA first-approval volume from 1939 to 2026 demonstrating modern biopharma growth.</w:t>
      </w:r>
    </w:p>
    <w:p w14:paraId="0BDF971B" w14:textId="77777777" w:rsidR="002D7F6C" w:rsidRDefault="00000000">
      <w:pPr>
        <w:keepNext/>
        <w:spacing w:before="160" w:after="40"/>
        <w:jc w:val="center"/>
      </w:pPr>
      <w:r>
        <w:rPr>
          <w:noProof/>
        </w:rPr>
        <w:lastRenderedPageBreak/>
        <w:drawing>
          <wp:inline distT="0" distB="0" distL="0" distR="0" wp14:anchorId="1A1A2CBA" wp14:editId="79328980">
            <wp:extent cx="4754880" cy="28529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da_chembl_integration_funnel.png"/>
                    <pic:cNvPicPr/>
                  </pic:nvPicPr>
                  <pic:blipFill>
                    <a:blip r:embed="rId19"/>
                    <a:stretch>
                      <a:fillRect/>
                    </a:stretch>
                  </pic:blipFill>
                  <pic:spPr>
                    <a:xfrm>
                      <a:off x="0" y="0"/>
                      <a:ext cx="4754880" cy="2852928"/>
                    </a:xfrm>
                    <a:prstGeom prst="rect">
                      <a:avLst/>
                    </a:prstGeom>
                  </pic:spPr>
                </pic:pic>
              </a:graphicData>
            </a:graphic>
          </wp:inline>
        </w:drawing>
      </w:r>
    </w:p>
    <w:p w14:paraId="1BB4A620" w14:textId="77777777" w:rsidR="002D7F6C" w:rsidRDefault="00000000">
      <w:pPr>
        <w:spacing w:before="40" w:after="160"/>
        <w:jc w:val="center"/>
      </w:pPr>
      <w:r>
        <w:rPr>
          <w:rFonts w:ascii="Segoe UI" w:hAnsi="Segoe UI"/>
          <w:i/>
          <w:color w:val="64748B"/>
          <w:sz w:val="16"/>
        </w:rPr>
        <w:t>Figure 3.10: Entity resolution funnel connecting FDA active ingredients to ChEMBL chemical structure entities.</w:t>
      </w:r>
    </w:p>
    <w:p w14:paraId="7C55DFC1" w14:textId="77777777" w:rsidR="002D7F6C" w:rsidRDefault="00000000">
      <w:pPr>
        <w:keepNext/>
        <w:spacing w:before="180" w:after="60"/>
      </w:pPr>
      <w:r>
        <w:rPr>
          <w:rFonts w:ascii="Segoe UI" w:hAnsi="Segoe UI"/>
          <w:b/>
          <w:color w:val="0F172A"/>
          <w:sz w:val="20"/>
        </w:rPr>
        <w:t>3.7 Master Development Timeline Integration and Cartesian Audit</w:t>
      </w:r>
    </w:p>
    <w:p w14:paraId="0575EFEB" w14:textId="77777777" w:rsidR="002D7F6C" w:rsidRDefault="00000000">
      <w:pPr>
        <w:spacing w:after="80"/>
      </w:pPr>
      <w:r>
        <w:rPr>
          <w:rFonts w:ascii="Segoe UI" w:hAnsi="Segoe UI"/>
          <w:color w:val="1E293B"/>
          <w:sz w:val="18"/>
        </w:rPr>
        <w:t xml:space="preserve">Connecting the 12,243 FDA approval records to 30,663 ChEMBL disease indication records created a master timeline containing </w:t>
      </w:r>
      <w:r>
        <w:rPr>
          <w:rFonts w:ascii="Segoe UI" w:hAnsi="Segoe UI"/>
          <w:b/>
          <w:color w:val="1E293B"/>
          <w:sz w:val="18"/>
        </w:rPr>
        <w:t>555,323 master join rows</w:t>
      </w:r>
      <w:r>
        <w:rPr>
          <w:rFonts w:ascii="Segoe UI" w:hAnsi="Segoe UI"/>
          <w:color w:val="1E293B"/>
          <w:sz w:val="18"/>
        </w:rPr>
        <w:t xml:space="preserve"> spanning 2,378 standardized disease terms.</w:t>
      </w:r>
    </w:p>
    <w:p w14:paraId="1881C724" w14:textId="77777777" w:rsidR="002D7F6C" w:rsidRDefault="00000000">
      <w:pPr>
        <w:keepNext/>
        <w:spacing w:before="120" w:after="40"/>
      </w:pPr>
      <w:r>
        <w:rPr>
          <w:rFonts w:ascii="Segoe UI" w:hAnsi="Segoe UI"/>
          <w:b/>
          <w:color w:val="334155"/>
          <w:sz w:val="18"/>
        </w:rPr>
        <w:t>Cartesian Formulation Expansion Disambiguation</w:t>
      </w:r>
    </w:p>
    <w:p w14:paraId="45C16F78" w14:textId="77777777" w:rsidR="002D7F6C" w:rsidRDefault="00000000">
      <w:pPr>
        <w:spacing w:after="80"/>
      </w:pPr>
      <w:r>
        <w:rPr>
          <w:rFonts w:ascii="Segoe UI" w:hAnsi="Segoe UI"/>
          <w:color w:val="1E293B"/>
          <w:sz w:val="18"/>
        </w:rPr>
        <w:t xml:space="preserve">An essential finding of our regulatory audit is that these 555,323 records represent </w:t>
      </w:r>
      <w:r>
        <w:rPr>
          <w:rFonts w:ascii="Segoe UI" w:hAnsi="Segoe UI"/>
          <w:b/>
          <w:color w:val="1E293B"/>
          <w:sz w:val="18"/>
        </w:rPr>
        <w:t>30,430 unique disease–molecule milestone pairs</w:t>
      </w:r>
      <w:r>
        <w:rPr>
          <w:rFonts w:ascii="Segoe UI" w:hAnsi="Segoe UI"/>
          <w:color w:val="1E293B"/>
          <w:sz w:val="18"/>
        </w:rPr>
        <w:t>. The ratio:</w:t>
      </w:r>
    </w:p>
    <w:p w14:paraId="7225A151" w14:textId="77777777" w:rsidR="00624455" w:rsidRDefault="00624455">
      <w:pPr>
        <w:spacing w:after="80"/>
        <w:rPr>
          <w:rFonts w:ascii="Segoe UI" w:hAnsi="Segoe UI"/>
          <w:color w:val="1E293B"/>
          <w:sz w:val="18"/>
        </w:rPr>
      </w:pPr>
      <w:r w:rsidRPr="00624455">
        <w:rPr>
          <w:rFonts w:ascii="Segoe UI" w:hAnsi="Segoe UI"/>
          <w:color w:val="1E293B"/>
          <w:sz w:val="18"/>
        </w:rPr>
        <w:t>Cartesian Redundancy Factor = 555,323 / 30,430 = 18.25x</w:t>
      </w:r>
    </w:p>
    <w:p w14:paraId="6BD951FB" w14:textId="39A10ABC" w:rsidR="002D7F6C" w:rsidRDefault="00000000">
      <w:pPr>
        <w:spacing w:after="80"/>
      </w:pPr>
      <w:r>
        <w:rPr>
          <w:rFonts w:ascii="Segoe UI" w:hAnsi="Segoe UI"/>
          <w:color w:val="1E293B"/>
          <w:sz w:val="18"/>
        </w:rPr>
        <w:t>This expansion occurs because commercial pharmaceuticals are manufactured across multiple application numbers, dosage strengths, packaging configurations, and administration routes. Mistaking joined database rows for 555,323 distinct therapeutic discoveries or unique clinical trials is an assumption that our regulatory audit disambiguates by separating formulation join rows from unique clinical trial protocols and indication-specific approvals. The join categories represent cross-referenced database rows resulting from formulation and indication joins, not counts of unique clinical trials or verified indication-specific FDA marketing approvals.</w:t>
      </w:r>
    </w:p>
    <w:p w14:paraId="0B2AED9E" w14:textId="77777777" w:rsidR="002D7F6C" w:rsidRDefault="00000000">
      <w:r>
        <w:br w:type="page"/>
      </w:r>
    </w:p>
    <w:p w14:paraId="08EA7B60" w14:textId="77777777" w:rsidR="002D7F6C" w:rsidRDefault="00000000">
      <w:pPr>
        <w:keepNext/>
        <w:spacing w:before="260" w:after="80"/>
      </w:pPr>
      <w:r>
        <w:rPr>
          <w:rFonts w:ascii="Segoe UI" w:hAnsi="Segoe UI"/>
          <w:b/>
          <w:color w:val="0F172A"/>
          <w:sz w:val="24"/>
        </w:rPr>
        <w:lastRenderedPageBreak/>
        <w:t>4. Implementation Methodology</w:t>
      </w:r>
    </w:p>
    <w:p w14:paraId="268BD576" w14:textId="77777777" w:rsidR="002D7F6C" w:rsidRDefault="00000000">
      <w:pPr>
        <w:spacing w:after="80"/>
      </w:pPr>
      <w:r>
        <w:rPr>
          <w:rFonts w:ascii="Segoe UI" w:hAnsi="Segoe UI"/>
          <w:color w:val="1E293B"/>
          <w:sz w:val="18"/>
        </w:rPr>
        <w:t>The complete TheraLens pipeline is structured into six modular, sequential Python implementations executed via an overarching CLI orchestrator.</w:t>
      </w:r>
    </w:p>
    <w:p w14:paraId="5D88E390" w14:textId="77777777" w:rsidR="002D7F6C" w:rsidRDefault="00000000">
      <w:pPr>
        <w:keepNext/>
        <w:spacing w:before="180" w:after="60"/>
      </w:pPr>
      <w:r>
        <w:rPr>
          <w:rFonts w:ascii="Segoe UI" w:hAnsi="Segoe UI"/>
          <w:b/>
          <w:color w:val="0F172A"/>
          <w:sz w:val="20"/>
        </w:rPr>
        <w:t>4.1 Module 1: Leakage-Free Symptom-Based Disease Classification</w:t>
      </w:r>
    </w:p>
    <w:p w14:paraId="678EE107"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Train and benchmark supervised multiclass classifiers to identify disease categories from clinical presentations while preventing data leakage.</w:t>
      </w:r>
    </w:p>
    <w:p w14:paraId="6F5BC1F3" w14:textId="77777777" w:rsidR="002D7F6C" w:rsidRDefault="00000000">
      <w:pPr>
        <w:pStyle w:val="ListBullet"/>
        <w:spacing w:before="20" w:after="40"/>
      </w:pPr>
      <w:r>
        <w:rPr>
          <w:rFonts w:ascii="Segoe UI" w:hAnsi="Segoe UI"/>
          <w:b/>
          <w:color w:val="1E293B"/>
          <w:sz w:val="18"/>
        </w:rPr>
        <w:t>Input Dataset</w:t>
      </w:r>
      <w:r>
        <w:rPr>
          <w:rFonts w:ascii="Segoe UI" w:hAnsi="Segoe UI"/>
          <w:color w:val="1E293B"/>
          <w:sz w:val="18"/>
        </w:rPr>
        <w:t xml:space="preserve">: </w:t>
      </w:r>
      <w:r>
        <w:rPr>
          <w:rFonts w:ascii="Consolas" w:hAnsi="Consolas"/>
          <w:color w:val="0284C7"/>
          <w:sz w:val="16"/>
        </w:rPr>
        <w:t>data/raw/symptom_disease.csv</w:t>
      </w:r>
      <w:r>
        <w:rPr>
          <w:rFonts w:ascii="Segoe UI" w:hAnsi="Segoe UI"/>
          <w:color w:val="1E293B"/>
          <w:sz w:val="18"/>
        </w:rPr>
        <w:t xml:space="preserve"> </w:t>
      </w:r>
      <w:r>
        <w:rPr>
          <w:rFonts w:ascii="Cambria Math" w:hAnsi="Cambria Math"/>
          <w:i/>
          <w:color w:val="1E293B"/>
          <w:sz w:val="18"/>
        </w:rPr>
        <w:t>→</w:t>
      </w:r>
      <w:r>
        <w:rPr>
          <w:rFonts w:ascii="Segoe UI" w:hAnsi="Segoe UI"/>
          <w:color w:val="1E293B"/>
          <w:sz w:val="18"/>
        </w:rPr>
        <w:t xml:space="preserve"> deduplicated to </w:t>
      </w:r>
      <w:r>
        <w:rPr>
          <w:rFonts w:ascii="Consolas" w:hAnsi="Consolas"/>
          <w:color w:val="0284C7"/>
          <w:sz w:val="16"/>
        </w:rPr>
        <w:t>data/processed/symptom_disease_clean.csv</w:t>
      </w:r>
      <w:r>
        <w:rPr>
          <w:rFonts w:ascii="Segoe UI" w:hAnsi="Segoe UI"/>
          <w:color w:val="1E293B"/>
          <w:sz w:val="18"/>
        </w:rPr>
        <w:t xml:space="preserve"> (304 patterns, 132 binary features, 41 classes).</w:t>
      </w:r>
    </w:p>
    <w:p w14:paraId="2E2C8383" w14:textId="77777777"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 Stratified 80/20 train/test partition (</w:t>
      </w:r>
      <w:r>
        <w:rPr>
          <w:rFonts w:ascii="Cambria Math" w:hAnsi="Cambria Math"/>
          <w:i/>
          <w:color w:val="1E293B"/>
          <w:sz w:val="18"/>
        </w:rPr>
        <w:t>N_train = 243, N_test = 61</w:t>
      </w:r>
      <w:r>
        <w:rPr>
          <w:rFonts w:ascii="Segoe UI" w:hAnsi="Segoe UI"/>
          <w:color w:val="1E293B"/>
          <w:sz w:val="18"/>
        </w:rPr>
        <w:t>). Evaluated four architectures: Stratified Dummy Baseline, Multi-Class Logistic Regression (</w:t>
      </w:r>
      <w:r>
        <w:rPr>
          <w:rFonts w:ascii="Cambria Math" w:hAnsi="Cambria Math"/>
          <w:i/>
          <w:color w:val="1E293B"/>
          <w:sz w:val="18"/>
        </w:rPr>
        <w:t>L_2</w:t>
      </w:r>
      <w:r>
        <w:rPr>
          <w:rFonts w:ascii="Segoe UI" w:hAnsi="Segoe UI"/>
          <w:color w:val="1E293B"/>
          <w:sz w:val="18"/>
        </w:rPr>
        <w:t xml:space="preserve"> regularization, </w:t>
      </w:r>
      <w:r>
        <w:rPr>
          <w:rFonts w:ascii="Cambria Math" w:hAnsi="Cambria Math"/>
          <w:i/>
          <w:color w:val="1E293B"/>
          <w:sz w:val="18"/>
        </w:rPr>
        <w:t>C=1.0</w:t>
      </w:r>
      <w:r>
        <w:rPr>
          <w:rFonts w:ascii="Segoe UI" w:hAnsi="Segoe UI"/>
          <w:color w:val="1E293B"/>
          <w:sz w:val="18"/>
        </w:rPr>
        <w:t>), Random Forest (100 estimators, max depth 15), and Linear Support Vector Machine (</w:t>
      </w:r>
      <w:r>
        <w:rPr>
          <w:rFonts w:ascii="Cambria Math" w:hAnsi="Cambria Math"/>
          <w:i/>
          <w:color w:val="1E293B"/>
          <w:sz w:val="18"/>
        </w:rPr>
        <w:t>probability=True</w:t>
      </w:r>
      <w:r>
        <w:rPr>
          <w:rFonts w:ascii="Segoe UI" w:hAnsi="Segoe UI"/>
          <w:color w:val="1E293B"/>
          <w:sz w:val="18"/>
        </w:rPr>
        <w:t>). Importantly, the 61 held-out test patterns are sampled directly from the same deduplicated benchmark dataset (</w:t>
      </w:r>
      <w:r>
        <w:rPr>
          <w:rFonts w:ascii="Consolas" w:hAnsi="Consolas"/>
          <w:color w:val="0284C7"/>
          <w:sz w:val="16"/>
        </w:rPr>
        <w:t>symptom_disease_clean.csv</w:t>
      </w:r>
      <w:r>
        <w:rPr>
          <w:rFonts w:ascii="Segoe UI" w:hAnsi="Segoe UI"/>
          <w:color w:val="1E293B"/>
          <w:sz w:val="18"/>
        </w:rPr>
        <w:t>) via stratified partitioning. While this split rigorously prevents identical-vector memorization within the dataset, it constitutes an internal test partition rather than an external clinical validation cohort.</w:t>
      </w:r>
    </w:p>
    <w:p w14:paraId="7CBDF25B" w14:textId="7777777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src/models/train_symptom_classifier.py</w:t>
      </w:r>
      <w:r>
        <w:rPr>
          <w:rFonts w:ascii="Segoe UI" w:hAnsi="Segoe UI"/>
          <w:color w:val="1E293B"/>
          <w:sz w:val="18"/>
        </w:rPr>
        <w:t xml:space="preserve"> and </w:t>
      </w:r>
      <w:r>
        <w:rPr>
          <w:rFonts w:ascii="Consolas" w:hAnsi="Consolas"/>
          <w:color w:val="0284C7"/>
          <w:sz w:val="16"/>
        </w:rPr>
        <w:t>src/models/evaluate_symptom_classifier.py</w:t>
      </w:r>
      <w:r>
        <w:rPr>
          <w:rFonts w:ascii="Segoe UI" w:hAnsi="Segoe UI"/>
          <w:color w:val="1E293B"/>
          <w:sz w:val="18"/>
        </w:rPr>
        <w:t>.</w:t>
      </w:r>
    </w:p>
    <w:p w14:paraId="1E078EFD" w14:textId="77777777" w:rsidR="002D7F6C" w:rsidRDefault="00000000">
      <w:pPr>
        <w:pStyle w:val="ListBullet"/>
        <w:spacing w:before="20" w:after="40"/>
      </w:pPr>
      <w:r>
        <w:rPr>
          <w:rFonts w:ascii="Segoe UI" w:hAnsi="Segoe UI"/>
          <w:b/>
          <w:color w:val="1E293B"/>
          <w:sz w:val="18"/>
        </w:rPr>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196330B5" w14:textId="77777777">
        <w:trPr>
          <w:jc w:val="center"/>
        </w:trPr>
        <w:tc>
          <w:tcPr>
            <w:tcW w:w="9749" w:type="dxa"/>
            <w:shd w:val="clear" w:color="auto" w:fill="F8FAFC"/>
            <w:tcMar>
              <w:top w:w="90" w:type="dxa"/>
              <w:left w:w="130" w:type="dxa"/>
              <w:bottom w:w="90" w:type="dxa"/>
              <w:right w:w="130" w:type="dxa"/>
            </w:tcMar>
          </w:tcPr>
          <w:p w14:paraId="23053230" w14:textId="77777777" w:rsidR="002D7F6C" w:rsidRDefault="00000000">
            <w:pPr>
              <w:spacing w:after="0"/>
            </w:pPr>
            <w:r>
              <w:rPr>
                <w:rFonts w:ascii="Consolas" w:hAnsi="Consolas"/>
                <w:color w:val="1E293B"/>
                <w:sz w:val="15"/>
              </w:rPr>
              <w:t>python src/models/train_symptom_classifier.py</w:t>
            </w:r>
            <w:r>
              <w:rPr>
                <w:rFonts w:ascii="Consolas" w:hAnsi="Consolas"/>
                <w:color w:val="1E293B"/>
                <w:sz w:val="15"/>
              </w:rPr>
              <w:br/>
              <w:t>python src/models/evaluate_symptom_classifier.py</w:t>
            </w:r>
          </w:p>
        </w:tc>
      </w:tr>
    </w:tbl>
    <w:p w14:paraId="0D505E5B" w14:textId="77777777" w:rsidR="002D7F6C" w:rsidRDefault="002D7F6C">
      <w:pPr>
        <w:spacing w:after="80"/>
      </w:pPr>
    </w:p>
    <w:p w14:paraId="5F40914A"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24CF0D28" w14:textId="77777777">
        <w:trPr>
          <w:jc w:val="center"/>
        </w:trPr>
        <w:tc>
          <w:tcPr>
            <w:tcW w:w="9749" w:type="dxa"/>
            <w:shd w:val="clear" w:color="auto" w:fill="F8FAFC"/>
            <w:tcMar>
              <w:top w:w="90" w:type="dxa"/>
              <w:left w:w="130" w:type="dxa"/>
              <w:bottom w:w="90" w:type="dxa"/>
              <w:right w:w="130" w:type="dxa"/>
            </w:tcMar>
          </w:tcPr>
          <w:p w14:paraId="4B12A19E" w14:textId="77777777" w:rsidR="002D7F6C" w:rsidRDefault="00000000">
            <w:pPr>
              <w:spacing w:after="0"/>
            </w:pPr>
            <w:r>
              <w:rPr>
                <w:rFonts w:ascii="Consolas" w:hAnsi="Consolas"/>
                <w:color w:val="1E293B"/>
                <w:sz w:val="15"/>
              </w:rPr>
              <w:t># Stratified 80/20 train/test split on deduplicated clinical manifold</w:t>
            </w:r>
            <w:r>
              <w:rPr>
                <w:rFonts w:ascii="Consolas" w:hAnsi="Consolas"/>
                <w:color w:val="1E293B"/>
                <w:sz w:val="15"/>
              </w:rPr>
              <w:br/>
              <w:t>X = df_clean[feature_cols].values</w:t>
            </w:r>
            <w:r>
              <w:rPr>
                <w:rFonts w:ascii="Consolas" w:hAnsi="Consolas"/>
                <w:color w:val="1E293B"/>
                <w:sz w:val="15"/>
              </w:rPr>
              <w:br/>
              <w:t>y = df_clean[target_col].values</w:t>
            </w:r>
            <w:r>
              <w:rPr>
                <w:rFonts w:ascii="Consolas" w:hAnsi="Consolas"/>
                <w:color w:val="1E293B"/>
                <w:sz w:val="15"/>
              </w:rPr>
              <w:br/>
              <w:t>X_train, X_test, y_train, y_test = train_test_split(</w:t>
            </w:r>
            <w:r>
              <w:rPr>
                <w:rFonts w:ascii="Consolas" w:hAnsi="Consolas"/>
                <w:color w:val="1E293B"/>
                <w:sz w:val="15"/>
              </w:rPr>
              <w:br/>
              <w:t xml:space="preserve">    X, y, test_size=0.20, random_state=42, stratify=y</w:t>
            </w:r>
            <w:r>
              <w:rPr>
                <w:rFonts w:ascii="Consolas" w:hAnsi="Consolas"/>
                <w:color w:val="1E293B"/>
                <w:sz w:val="15"/>
              </w:rPr>
              <w:br/>
              <w:t>)</w:t>
            </w:r>
            <w:r>
              <w:rPr>
                <w:rFonts w:ascii="Consolas" w:hAnsi="Consolas"/>
                <w:color w:val="1E293B"/>
                <w:sz w:val="15"/>
              </w:rPr>
              <w:br/>
            </w:r>
            <w:r>
              <w:rPr>
                <w:rFonts w:ascii="Consolas" w:hAnsi="Consolas"/>
                <w:color w:val="1E293B"/>
                <w:sz w:val="15"/>
              </w:rPr>
              <w:br/>
              <w:t>candidate_models = {</w:t>
            </w:r>
            <w:r>
              <w:rPr>
                <w:rFonts w:ascii="Consolas" w:hAnsi="Consolas"/>
                <w:color w:val="1E293B"/>
                <w:sz w:val="15"/>
              </w:rPr>
              <w:br/>
              <w:t xml:space="preserve">    "Dummy (Stratified)": DummyClassifier(strategy="stratified", random_state=42),</w:t>
            </w:r>
            <w:r>
              <w:rPr>
                <w:rFonts w:ascii="Consolas" w:hAnsi="Consolas"/>
                <w:color w:val="1E293B"/>
                <w:sz w:val="15"/>
              </w:rPr>
              <w:br/>
              <w:t xml:space="preserve">    "Logistic Regression": LogisticRegression(C=1.0, max_iter=1000, random_state=42),</w:t>
            </w:r>
            <w:r>
              <w:rPr>
                <w:rFonts w:ascii="Consolas" w:hAnsi="Consolas"/>
                <w:color w:val="1E293B"/>
                <w:sz w:val="15"/>
              </w:rPr>
              <w:br/>
              <w:t xml:space="preserve">    "Random Forest": RandomForestClassifier(n_estimators=100, max_depth=15, random_state=42),</w:t>
            </w:r>
            <w:r>
              <w:rPr>
                <w:rFonts w:ascii="Consolas" w:hAnsi="Consolas"/>
                <w:color w:val="1E293B"/>
                <w:sz w:val="15"/>
              </w:rPr>
              <w:br/>
              <w:t xml:space="preserve">    "Support Vector Machine": SVC(kernel="linear", probability=True, random_state=42),</w:t>
            </w:r>
            <w:r>
              <w:rPr>
                <w:rFonts w:ascii="Consolas" w:hAnsi="Consolas"/>
                <w:color w:val="1E293B"/>
                <w:sz w:val="15"/>
              </w:rPr>
              <w:br/>
              <w:t>}</w:t>
            </w:r>
            <w:r>
              <w:rPr>
                <w:rFonts w:ascii="Consolas" w:hAnsi="Consolas"/>
                <w:color w:val="1E293B"/>
                <w:sz w:val="15"/>
              </w:rPr>
              <w:br/>
            </w:r>
            <w:r>
              <w:rPr>
                <w:rFonts w:ascii="Consolas" w:hAnsi="Consolas"/>
                <w:color w:val="1E293B"/>
                <w:sz w:val="15"/>
              </w:rPr>
              <w:br/>
              <w:t>for name, clf in candidate_models.items():</w:t>
            </w:r>
            <w:r>
              <w:rPr>
                <w:rFonts w:ascii="Consolas" w:hAnsi="Consolas"/>
                <w:color w:val="1E293B"/>
                <w:sz w:val="15"/>
              </w:rPr>
              <w:br/>
              <w:t xml:space="preserve">    clf.fit(X_train, y_train)</w:t>
            </w:r>
            <w:r>
              <w:rPr>
                <w:rFonts w:ascii="Consolas" w:hAnsi="Consolas"/>
                <w:color w:val="1E293B"/>
                <w:sz w:val="15"/>
              </w:rPr>
              <w:br/>
              <w:t xml:space="preserve">    metrics = evaluate_model(clf, X_test, y_test, name)</w:t>
            </w:r>
          </w:p>
        </w:tc>
      </w:tr>
    </w:tbl>
    <w:p w14:paraId="36387A71" w14:textId="77777777" w:rsidR="002D7F6C" w:rsidRDefault="002D7F6C">
      <w:pPr>
        <w:spacing w:after="80"/>
      </w:pPr>
    </w:p>
    <w:p w14:paraId="2FBE22C2"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models/symptom_classifier.joblib</w:t>
      </w:r>
      <w:r>
        <w:rPr>
          <w:rFonts w:ascii="Segoe UI" w:hAnsi="Segoe UI"/>
          <w:color w:val="1E293B"/>
          <w:sz w:val="18"/>
        </w:rPr>
        <w:t xml:space="preserve">, </w:t>
      </w:r>
      <w:r>
        <w:rPr>
          <w:rFonts w:ascii="Consolas" w:hAnsi="Consolas"/>
          <w:color w:val="0284C7"/>
          <w:sz w:val="16"/>
        </w:rPr>
        <w:t>models/symptom_classifier_metadata.json</w:t>
      </w:r>
      <w:r>
        <w:rPr>
          <w:rFonts w:ascii="Segoe UI" w:hAnsi="Segoe UI"/>
          <w:color w:val="1E293B"/>
          <w:sz w:val="18"/>
        </w:rPr>
        <w:t xml:space="preserve">, </w:t>
      </w:r>
      <w:r>
        <w:rPr>
          <w:rFonts w:ascii="Consolas" w:hAnsi="Consolas"/>
          <w:color w:val="0284C7"/>
          <w:sz w:val="16"/>
        </w:rPr>
        <w:t>outputs/model_evaluation/model_comparison.csv</w:t>
      </w:r>
      <w:r>
        <w:rPr>
          <w:rFonts w:ascii="Segoe UI" w:hAnsi="Segoe UI"/>
          <w:color w:val="1E293B"/>
          <w:sz w:val="18"/>
        </w:rPr>
        <w:t xml:space="preserve">, </w:t>
      </w:r>
      <w:r>
        <w:rPr>
          <w:rFonts w:ascii="Consolas" w:hAnsi="Consolas"/>
          <w:color w:val="0284C7"/>
          <w:sz w:val="16"/>
        </w:rPr>
        <w:t>outputs/model_evaluation/confusion_matrix.png</w:t>
      </w:r>
      <w:r>
        <w:rPr>
          <w:rFonts w:ascii="Segoe UI" w:hAnsi="Segoe UI"/>
          <w:color w:val="1E293B"/>
          <w:sz w:val="18"/>
        </w:rPr>
        <w:t>.</w:t>
      </w:r>
    </w:p>
    <w:p w14:paraId="2C4840EC" w14:textId="77777777"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Logistic Regression was selected as the persisted model because it achieved 1.0000 Accuracy and Macro F1 on the held-out test split, requires minimal memory, and produces uncalibrated class probability estimates across differential diagnoses.</w:t>
      </w:r>
    </w:p>
    <w:p w14:paraId="6AEF6C68" w14:textId="77777777" w:rsidR="002D7F6C" w:rsidRDefault="00000000">
      <w:pPr>
        <w:keepNext/>
        <w:spacing w:before="180" w:after="60"/>
      </w:pPr>
      <w:r>
        <w:rPr>
          <w:rFonts w:ascii="Segoe UI" w:hAnsi="Segoe UI"/>
          <w:b/>
          <w:color w:val="0F172A"/>
          <w:sz w:val="20"/>
        </w:rPr>
        <w:t>4.2 Module 2: Multi-Attribute Therapeutic Candidate Prioritization</w:t>
      </w:r>
    </w:p>
    <w:p w14:paraId="7E1EC757"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Rank biological targets and small-molecule candidate compounds for specific disease indications using a multi-attribute decision matrix.</w:t>
      </w:r>
    </w:p>
    <w:p w14:paraId="7DD254A8" w14:textId="77777777" w:rsidR="002D7F6C" w:rsidRDefault="00000000">
      <w:pPr>
        <w:pStyle w:val="ListBullet"/>
        <w:spacing w:before="20" w:after="40"/>
      </w:pPr>
      <w:r>
        <w:rPr>
          <w:rFonts w:ascii="Segoe UI" w:hAnsi="Segoe UI"/>
          <w:b/>
          <w:color w:val="1E293B"/>
          <w:sz w:val="18"/>
        </w:rPr>
        <w:t>Input Datasets</w:t>
      </w:r>
      <w:r>
        <w:rPr>
          <w:rFonts w:ascii="Segoe UI" w:hAnsi="Segoe UI"/>
          <w:color w:val="1E293B"/>
          <w:sz w:val="18"/>
        </w:rPr>
        <w:t xml:space="preserve">: </w:t>
      </w:r>
      <w:r>
        <w:rPr>
          <w:rFonts w:ascii="Consolas" w:hAnsi="Consolas"/>
          <w:color w:val="0284C7"/>
          <w:sz w:val="16"/>
        </w:rPr>
        <w:t>data/raw/therapeutic_associations.csv</w:t>
      </w:r>
      <w:r>
        <w:rPr>
          <w:rFonts w:ascii="Segoe UI" w:hAnsi="Segoe UI"/>
          <w:color w:val="1E293B"/>
          <w:sz w:val="18"/>
        </w:rPr>
        <w:t xml:space="preserve">, </w:t>
      </w:r>
      <w:r>
        <w:rPr>
          <w:rFonts w:ascii="Consolas" w:hAnsi="Consolas"/>
          <w:color w:val="0284C7"/>
          <w:sz w:val="16"/>
        </w:rPr>
        <w:t>data/raw/chembl_activity.csv</w:t>
      </w:r>
      <w:r>
        <w:rPr>
          <w:rFonts w:ascii="Segoe UI" w:hAnsi="Segoe UI"/>
          <w:color w:val="1E293B"/>
          <w:sz w:val="18"/>
        </w:rPr>
        <w:t xml:space="preserve">, </w:t>
      </w:r>
      <w:r>
        <w:rPr>
          <w:rFonts w:ascii="Consolas" w:hAnsi="Consolas"/>
          <w:color w:val="0284C7"/>
          <w:sz w:val="16"/>
        </w:rPr>
        <w:t>data/raw/chembl_molecules.csv</w:t>
      </w:r>
      <w:r>
        <w:rPr>
          <w:rFonts w:ascii="Segoe UI" w:hAnsi="Segoe UI"/>
          <w:color w:val="1E293B"/>
          <w:sz w:val="18"/>
        </w:rPr>
        <w:t>.</w:t>
      </w:r>
    </w:p>
    <w:p w14:paraId="09069B35" w14:textId="77777777"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 Computes the Composite Priority Score (</w:t>
      </w:r>
      <w:r>
        <w:rPr>
          <w:rFonts w:ascii="Cambria Math" w:hAnsi="Cambria Math"/>
          <w:i/>
          <w:color w:val="1E293B"/>
          <w:sz w:val="18"/>
        </w:rPr>
        <w:t>CPS ∈ [0.0, 1.0]</w:t>
      </w:r>
      <w:r>
        <w:rPr>
          <w:rFonts w:ascii="Segoe UI" w:hAnsi="Segoe UI"/>
          <w:color w:val="1E293B"/>
          <w:sz w:val="18"/>
        </w:rPr>
        <w:t>) combining four normalized biological and chemical dimensions:</w:t>
      </w:r>
    </w:p>
    <w:p w14:paraId="5D7D0290" w14:textId="44584F8D" w:rsidR="002D7F6C" w:rsidRDefault="00000000">
      <w:pPr>
        <w:spacing w:after="80"/>
      </w:pPr>
      <w:r>
        <w:rPr>
          <w:rFonts w:ascii="Segoe UI" w:hAnsi="Segoe UI"/>
          <w:color w:val="1E293B"/>
          <w:sz w:val="18"/>
        </w:rPr>
        <w:t xml:space="preserve">CPS = 0.35 </w:t>
      </w:r>
      <w:r w:rsidR="00624455" w:rsidRPr="00624455">
        <w:rPr>
          <w:rFonts w:ascii="Segoe UI" w:hAnsi="Segoe UI"/>
          <w:color w:val="1E293B"/>
          <w:sz w:val="18"/>
        </w:rPr>
        <w:t>Score = 0.35 * S_target + 0.35 * S_potency + 0.15 * S_druglike + 0.15 * S_evidence</w:t>
      </w:r>
    </w:p>
    <w:p w14:paraId="03B1A800" w14:textId="77777777" w:rsidR="00624455" w:rsidRPr="00624455" w:rsidRDefault="00624455" w:rsidP="00624455">
      <w:pPr>
        <w:pStyle w:val="ListBullet"/>
        <w:numPr>
          <w:ilvl w:val="0"/>
          <w:numId w:val="0"/>
        </w:numPr>
        <w:spacing w:before="20" w:after="40"/>
      </w:pPr>
      <w:r w:rsidRPr="00624455">
        <w:rPr>
          <w:rFonts w:ascii="Segoe UI" w:hAnsi="Segoe UI"/>
          <w:color w:val="1E293B"/>
          <w:sz w:val="18"/>
        </w:rPr>
        <w:lastRenderedPageBreak/>
        <w:t>Where S_target is the Open Targets evidence score, S_potency normalizes median pChEMBL between 4.0 (100 μM) and 10.0 (0.1 nM), S_druglike evaluates Lipinski/Veber rules (0.0 to 1.0), and S_evidence scores global molecule-level development maturity (0.1 to 1.0) based on ChEMBL max_phase. We explicitly emphasize that max_phase reflects the highest clinical milestone achieved by the compound globally across any condition in ChEMBL, not indication-specific regulatory authorization for the disease being analyzed.</w:t>
      </w:r>
    </w:p>
    <w:p w14:paraId="46DBE00D" w14:textId="26D63B6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src/models/prioritize_therapeutic_candidates.py</w:t>
      </w:r>
      <w:r>
        <w:rPr>
          <w:rFonts w:ascii="Segoe UI" w:hAnsi="Segoe UI"/>
          <w:color w:val="1E293B"/>
          <w:sz w:val="18"/>
        </w:rPr>
        <w:t>.</w:t>
      </w:r>
    </w:p>
    <w:p w14:paraId="7C2F1E66" w14:textId="77777777" w:rsidR="002D7F6C" w:rsidRDefault="00000000">
      <w:pPr>
        <w:pStyle w:val="ListBullet"/>
        <w:spacing w:before="20" w:after="40"/>
      </w:pPr>
      <w:r>
        <w:rPr>
          <w:rFonts w:ascii="Segoe UI" w:hAnsi="Segoe UI"/>
          <w:b/>
          <w:color w:val="1E293B"/>
          <w:sz w:val="18"/>
        </w:rPr>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5038ACAD" w14:textId="77777777">
        <w:trPr>
          <w:jc w:val="center"/>
        </w:trPr>
        <w:tc>
          <w:tcPr>
            <w:tcW w:w="9749" w:type="dxa"/>
            <w:shd w:val="clear" w:color="auto" w:fill="F8FAFC"/>
            <w:tcMar>
              <w:top w:w="90" w:type="dxa"/>
              <w:left w:w="130" w:type="dxa"/>
              <w:bottom w:w="90" w:type="dxa"/>
              <w:right w:w="130" w:type="dxa"/>
            </w:tcMar>
          </w:tcPr>
          <w:p w14:paraId="36AE1A6E" w14:textId="77777777" w:rsidR="002D7F6C" w:rsidRDefault="00000000">
            <w:pPr>
              <w:spacing w:after="0"/>
            </w:pPr>
            <w:r>
              <w:rPr>
                <w:rFonts w:ascii="Consolas" w:hAnsi="Consolas"/>
                <w:color w:val="1E293B"/>
                <w:sz w:val="15"/>
              </w:rPr>
              <w:t>python src/models/prioritize_therapeutic_candidates.py</w:t>
            </w:r>
          </w:p>
        </w:tc>
      </w:tr>
    </w:tbl>
    <w:p w14:paraId="294543F6" w14:textId="77777777" w:rsidR="002D7F6C" w:rsidRDefault="002D7F6C">
      <w:pPr>
        <w:spacing w:after="80"/>
      </w:pPr>
    </w:p>
    <w:p w14:paraId="614D0969"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2FC25C7C" w14:textId="77777777">
        <w:trPr>
          <w:jc w:val="center"/>
        </w:trPr>
        <w:tc>
          <w:tcPr>
            <w:tcW w:w="9749" w:type="dxa"/>
            <w:shd w:val="clear" w:color="auto" w:fill="F8FAFC"/>
            <w:tcMar>
              <w:top w:w="90" w:type="dxa"/>
              <w:left w:w="130" w:type="dxa"/>
              <w:bottom w:w="90" w:type="dxa"/>
              <w:right w:w="130" w:type="dxa"/>
            </w:tcMar>
          </w:tcPr>
          <w:p w14:paraId="636EE133" w14:textId="77777777" w:rsidR="002D7F6C" w:rsidRDefault="00000000">
            <w:pPr>
              <w:spacing w:after="0"/>
            </w:pPr>
            <w:r>
              <w:rPr>
                <w:rFonts w:ascii="Consolas" w:hAnsi="Consolas"/>
                <w:color w:val="1E293B"/>
                <w:sz w:val="15"/>
              </w:rPr>
              <w:t># Component score computation across biological and chemical dimensions</w:t>
            </w:r>
            <w:r>
              <w:rPr>
                <w:rFonts w:ascii="Consolas" w:hAnsi="Consolas"/>
                <w:color w:val="1E293B"/>
                <w:sz w:val="15"/>
              </w:rPr>
              <w:br/>
              <w:t>grouped["score_target_assoc"] = grouped["association_score"].clip(0.0, 1.0)</w:t>
            </w:r>
            <w:r>
              <w:rPr>
                <w:rFonts w:ascii="Consolas" w:hAnsi="Consolas"/>
                <w:color w:val="1E293B"/>
                <w:sz w:val="15"/>
              </w:rPr>
              <w:br/>
              <w:t>grouped["score_potency"] = (</w:t>
            </w:r>
            <w:r>
              <w:rPr>
                <w:rFonts w:ascii="Consolas" w:hAnsi="Consolas"/>
                <w:color w:val="1E293B"/>
                <w:sz w:val="15"/>
              </w:rPr>
              <w:br/>
              <w:t xml:space="preserve">    (grouped["median_pchembl"] - 4.0) / (10.0 - 4.0)</w:t>
            </w:r>
            <w:r>
              <w:rPr>
                <w:rFonts w:ascii="Consolas" w:hAnsi="Consolas"/>
                <w:color w:val="1E293B"/>
                <w:sz w:val="15"/>
              </w:rPr>
              <w:br/>
              <w:t>).clip(0.0, 1.0)</w:t>
            </w:r>
            <w:r>
              <w:rPr>
                <w:rFonts w:ascii="Consolas" w:hAnsi="Consolas"/>
                <w:color w:val="1E293B"/>
                <w:sz w:val="15"/>
              </w:rPr>
              <w:br/>
              <w:t>grouped["score_druglike"] = [</w:t>
            </w:r>
            <w:r>
              <w:rPr>
                <w:rFonts w:ascii="Consolas" w:hAnsi="Consolas"/>
                <w:color w:val="1E293B"/>
                <w:sz w:val="15"/>
              </w:rPr>
              <w:br/>
              <w:t xml:space="preserve">    compute_druglikeness_score(row)[0] for _, row in grouped.iterrows()</w:t>
            </w:r>
            <w:r>
              <w:rPr>
                <w:rFonts w:ascii="Consolas" w:hAnsi="Consolas"/>
                <w:color w:val="1E293B"/>
                <w:sz w:val="15"/>
              </w:rPr>
              <w:br/>
              <w:t>]</w:t>
            </w:r>
            <w:r>
              <w:rPr>
                <w:rFonts w:ascii="Consolas" w:hAnsi="Consolas"/>
                <w:color w:val="1E293B"/>
                <w:sz w:val="15"/>
              </w:rPr>
              <w:br/>
              <w:t>grouped["score_clinical_evidence"] = grouped["max_phase"].apply(compute_evidence_bonus)</w:t>
            </w:r>
            <w:r>
              <w:rPr>
                <w:rFonts w:ascii="Consolas" w:hAnsi="Consolas"/>
                <w:color w:val="1E293B"/>
                <w:sz w:val="15"/>
              </w:rPr>
              <w:br/>
            </w:r>
            <w:r>
              <w:rPr>
                <w:rFonts w:ascii="Consolas" w:hAnsi="Consolas"/>
                <w:color w:val="1E293B"/>
                <w:sz w:val="15"/>
              </w:rPr>
              <w:br/>
              <w:t># Composite Priority Score (CPS in [0.0, 1.0])</w:t>
            </w:r>
            <w:r>
              <w:rPr>
                <w:rFonts w:ascii="Consolas" w:hAnsi="Consolas"/>
                <w:color w:val="1E293B"/>
                <w:sz w:val="15"/>
              </w:rPr>
              <w:br/>
              <w:t>grouped["composite_priority_score"] = (</w:t>
            </w:r>
            <w:r>
              <w:rPr>
                <w:rFonts w:ascii="Consolas" w:hAnsi="Consolas"/>
                <w:color w:val="1E293B"/>
                <w:sz w:val="15"/>
              </w:rPr>
              <w:br/>
              <w:t xml:space="preserve">    0.35 * grouped["score_target_assoc"]</w:t>
            </w:r>
            <w:r>
              <w:rPr>
                <w:rFonts w:ascii="Consolas" w:hAnsi="Consolas"/>
                <w:color w:val="1E293B"/>
                <w:sz w:val="15"/>
              </w:rPr>
              <w:br/>
              <w:t xml:space="preserve">    + 0.35 * grouped["score_potency"]</w:t>
            </w:r>
            <w:r>
              <w:rPr>
                <w:rFonts w:ascii="Consolas" w:hAnsi="Consolas"/>
                <w:color w:val="1E293B"/>
                <w:sz w:val="15"/>
              </w:rPr>
              <w:br/>
              <w:t xml:space="preserve">    + 0.15 * grouped["score_druglike"]</w:t>
            </w:r>
            <w:r>
              <w:rPr>
                <w:rFonts w:ascii="Consolas" w:hAnsi="Consolas"/>
                <w:color w:val="1E293B"/>
                <w:sz w:val="15"/>
              </w:rPr>
              <w:br/>
              <w:t xml:space="preserve">    + 0.15 * grouped["score_clinical_evidence"]</w:t>
            </w:r>
            <w:r>
              <w:rPr>
                <w:rFonts w:ascii="Consolas" w:hAnsi="Consolas"/>
                <w:color w:val="1E293B"/>
                <w:sz w:val="15"/>
              </w:rPr>
              <w:br/>
              <w:t>).round(4)</w:t>
            </w:r>
          </w:p>
        </w:tc>
      </w:tr>
    </w:tbl>
    <w:p w14:paraId="4E62DDA8" w14:textId="77777777" w:rsidR="002D7F6C" w:rsidRDefault="002D7F6C">
      <w:pPr>
        <w:spacing w:after="80"/>
      </w:pPr>
    </w:p>
    <w:p w14:paraId="41DE635A"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data/processed/therapeutic_candidate_rankings.csv</w:t>
      </w:r>
      <w:r>
        <w:rPr>
          <w:rFonts w:ascii="Segoe UI" w:hAnsi="Segoe UI"/>
          <w:color w:val="1E293B"/>
          <w:sz w:val="18"/>
        </w:rPr>
        <w:t xml:space="preserve"> (25,650 rows), </w:t>
      </w:r>
      <w:r>
        <w:rPr>
          <w:rFonts w:ascii="Consolas" w:hAnsi="Consolas"/>
          <w:color w:val="0284C7"/>
          <w:sz w:val="16"/>
        </w:rPr>
        <w:t>data/processed/disease_target_rankings.csv</w:t>
      </w:r>
      <w:r>
        <w:rPr>
          <w:rFonts w:ascii="Segoe UI" w:hAnsi="Segoe UI"/>
          <w:color w:val="1E293B"/>
          <w:sz w:val="18"/>
        </w:rPr>
        <w:t xml:space="preserve"> (3,636 rows), </w:t>
      </w:r>
      <w:r>
        <w:rPr>
          <w:rFonts w:ascii="Consolas" w:hAnsi="Consolas"/>
          <w:color w:val="0284C7"/>
          <w:sz w:val="16"/>
        </w:rPr>
        <w:t>outputs/therapeutic_prioritization/top_candidate_scores.png</w:t>
      </w:r>
      <w:r>
        <w:rPr>
          <w:rFonts w:ascii="Segoe UI" w:hAnsi="Segoe UI"/>
          <w:color w:val="1E293B"/>
          <w:sz w:val="18"/>
        </w:rPr>
        <w:t>.</w:t>
      </w:r>
    </w:p>
    <w:p w14:paraId="0B964E10" w14:textId="77777777"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Successfully evaluated 25,650 candidates across 37 diseases. Top candidate for AIDS: Medroxyprogesterone Acetate (</w:t>
      </w:r>
      <w:r>
        <w:rPr>
          <w:rFonts w:ascii="Cambria Math" w:hAnsi="Cambria Math"/>
          <w:i/>
          <w:color w:val="1E293B"/>
          <w:sz w:val="18"/>
        </w:rPr>
        <w:t>CPS = 0.7689</w:t>
      </w:r>
      <w:r>
        <w:rPr>
          <w:rFonts w:ascii="Segoe UI" w:hAnsi="Segoe UI"/>
          <w:color w:val="1E293B"/>
          <w:sz w:val="18"/>
        </w:rPr>
        <w:t>, Target: AR, pChEMBL: 9.77, Phase 4 global maturity). This ranking is a heuristic multi-criteria score resulting from potent androgen receptor binding and global molecule maturity; it is NOT evidence of clinical efficacy or indication-specific safety for HIV/AIDS.</w:t>
      </w:r>
    </w:p>
    <w:p w14:paraId="203D718A" w14:textId="77777777" w:rsidR="002D7F6C" w:rsidRDefault="00000000">
      <w:pPr>
        <w:keepNext/>
        <w:spacing w:before="180" w:after="60"/>
      </w:pPr>
      <w:r>
        <w:rPr>
          <w:rFonts w:ascii="Segoe UI" w:hAnsi="Segoe UI"/>
          <w:b/>
          <w:color w:val="0F172A"/>
          <w:sz w:val="20"/>
        </w:rPr>
        <w:t>4.3 Module 3: Longitudinal Epidemiological Trend and Outbreak Surveillance</w:t>
      </w:r>
    </w:p>
    <w:p w14:paraId="703977AC"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Detect anomalous outbreak surges across international surveillance series and benchmark time-ordered forecasting models.</w:t>
      </w:r>
    </w:p>
    <w:p w14:paraId="67B0F8B1" w14:textId="77777777" w:rsidR="002D7F6C" w:rsidRDefault="00000000">
      <w:pPr>
        <w:pStyle w:val="ListBullet"/>
        <w:spacing w:before="20" w:after="40"/>
      </w:pPr>
      <w:r>
        <w:rPr>
          <w:rFonts w:ascii="Segoe UI" w:hAnsi="Segoe UI"/>
          <w:b/>
          <w:color w:val="1E293B"/>
          <w:sz w:val="18"/>
        </w:rPr>
        <w:t>Input Dataset</w:t>
      </w:r>
      <w:r>
        <w:rPr>
          <w:rFonts w:ascii="Segoe UI" w:hAnsi="Segoe UI"/>
          <w:color w:val="1E293B"/>
          <w:sz w:val="18"/>
        </w:rPr>
        <w:t xml:space="preserve">: </w:t>
      </w:r>
      <w:r>
        <w:rPr>
          <w:rFonts w:ascii="Consolas" w:hAnsi="Consolas"/>
          <w:color w:val="0284C7"/>
          <w:sz w:val="16"/>
        </w:rPr>
        <w:t>data/raw/measles_who.csv</w:t>
      </w:r>
      <w:r>
        <w:rPr>
          <w:rFonts w:ascii="Segoe UI" w:hAnsi="Segoe UI"/>
          <w:color w:val="1E293B"/>
          <w:sz w:val="18"/>
        </w:rPr>
        <w:t xml:space="preserve">, </w:t>
      </w:r>
      <w:r>
        <w:rPr>
          <w:rFonts w:ascii="Consolas" w:hAnsi="Consolas"/>
          <w:color w:val="0284C7"/>
          <w:sz w:val="16"/>
        </w:rPr>
        <w:t>data/raw/yellow_fever_who.csv</w:t>
      </w:r>
      <w:r>
        <w:rPr>
          <w:rFonts w:ascii="Segoe UI" w:hAnsi="Segoe UI"/>
          <w:color w:val="1E293B"/>
          <w:sz w:val="18"/>
        </w:rPr>
        <w:t xml:space="preserve">, </w:t>
      </w:r>
      <w:r>
        <w:rPr>
          <w:rFonts w:ascii="Consolas" w:hAnsi="Consolas"/>
          <w:color w:val="0284C7"/>
          <w:sz w:val="16"/>
        </w:rPr>
        <w:t>data/processed/cholera_*_long.csv</w:t>
      </w:r>
      <w:r>
        <w:rPr>
          <w:rFonts w:ascii="Segoe UI" w:hAnsi="Segoe UI"/>
          <w:color w:val="1E293B"/>
          <w:sz w:val="18"/>
        </w:rPr>
        <w:t>.</w:t>
      </w:r>
    </w:p>
    <w:p w14:paraId="0B419E35" w14:textId="77777777"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w:t>
      </w:r>
    </w:p>
    <w:p w14:paraId="6F5F0D0D" w14:textId="1E553271" w:rsidR="002D7F6C" w:rsidRDefault="00000000" w:rsidP="00A64601">
      <w:pPr>
        <w:pStyle w:val="ListNumber"/>
        <w:numPr>
          <w:ilvl w:val="0"/>
          <w:numId w:val="11"/>
        </w:numPr>
        <w:spacing w:before="20" w:after="40"/>
      </w:pPr>
      <w:r w:rsidRPr="00A64601">
        <w:rPr>
          <w:rFonts w:ascii="Segoe UI" w:hAnsi="Segoe UI"/>
          <w:i/>
          <w:color w:val="1E293B"/>
          <w:sz w:val="18"/>
        </w:rPr>
        <w:t>Outbreak Surge Anomaly Detection</w:t>
      </w:r>
      <w:r w:rsidRPr="00A64601">
        <w:rPr>
          <w:rFonts w:ascii="Segoe UI" w:hAnsi="Segoe UI"/>
          <w:color w:val="1E293B"/>
          <w:sz w:val="18"/>
        </w:rPr>
        <w:t>: Computes shifted rolling mean (</w:t>
      </w:r>
      <w:r w:rsidRPr="00A64601">
        <w:rPr>
          <w:rFonts w:ascii="Cambria Math" w:hAnsi="Cambria Math"/>
          <w:i/>
          <w:color w:val="1E293B"/>
          <w:sz w:val="18"/>
        </w:rPr>
        <w:t>μ_t-1</w:t>
      </w:r>
      <w:r w:rsidRPr="00A64601">
        <w:rPr>
          <w:rFonts w:ascii="Segoe UI" w:hAnsi="Segoe UI"/>
          <w:color w:val="1E293B"/>
          <w:sz w:val="18"/>
        </w:rPr>
        <w:t>) and standard deviation (</w:t>
      </w:r>
      <w:r w:rsidRPr="00A64601">
        <w:rPr>
          <w:rFonts w:ascii="Cambria Math" w:hAnsi="Cambria Math"/>
          <w:i/>
          <w:color w:val="1E293B"/>
          <w:sz w:val="18"/>
        </w:rPr>
        <w:t>σ_t-1</w:t>
      </w:r>
      <w:r w:rsidRPr="00A64601">
        <w:rPr>
          <w:rFonts w:ascii="Segoe UI" w:hAnsi="Segoe UI"/>
          <w:color w:val="1E293B"/>
          <w:sz w:val="18"/>
        </w:rPr>
        <w:t>) over a 5-period window:</w:t>
      </w:r>
    </w:p>
    <w:p w14:paraId="2C849599" w14:textId="79F7E3C4" w:rsidR="002D7F6C" w:rsidRDefault="00000000">
      <w:pPr>
        <w:spacing w:after="80"/>
      </w:pPr>
      <w:r>
        <w:rPr>
          <w:rFonts w:ascii="Segoe UI" w:hAnsi="Segoe UI"/>
          <w:color w:val="1E293B"/>
          <w:sz w:val="18"/>
        </w:rPr>
        <w:t xml:space="preserve">Z_t </w:t>
      </w:r>
      <w:r w:rsidR="00F70AF2">
        <w:rPr>
          <w:rFonts w:ascii="Segoe UI" w:hAnsi="Segoe UI"/>
          <w:color w:val="1E293B"/>
          <w:sz w:val="18"/>
        </w:rPr>
        <w:t>=</w:t>
      </w:r>
      <w:r w:rsidR="00F70AF2" w:rsidRPr="00624455">
        <w:rPr>
          <w:rFonts w:ascii="Segoe UI" w:hAnsi="Segoe UI"/>
          <w:color w:val="1E293B"/>
          <w:sz w:val="18"/>
        </w:rPr>
        <w:t xml:space="preserve"> (</w:t>
      </w:r>
      <w:r w:rsidR="00624455" w:rsidRPr="00624455">
        <w:rPr>
          <w:rFonts w:ascii="Segoe UI" w:hAnsi="Segoe UI"/>
          <w:color w:val="1E293B"/>
          <w:sz w:val="18"/>
        </w:rPr>
        <w:t>Y_t - u_{t-1}) / max(o_{t-1}, 1.0)</w:t>
      </w:r>
    </w:p>
    <w:p w14:paraId="756BDB61" w14:textId="77777777" w:rsidR="002D7F6C" w:rsidRDefault="00000000">
      <w:pPr>
        <w:spacing w:after="80"/>
      </w:pPr>
      <w:r>
        <w:rPr>
          <w:rFonts w:ascii="Segoe UI" w:hAnsi="Segoe UI"/>
          <w:color w:val="1E293B"/>
          <w:sz w:val="18"/>
        </w:rPr>
        <w:t xml:space="preserve">A surge is flagged when </w:t>
      </w:r>
      <w:r>
        <w:rPr>
          <w:rFonts w:ascii="Cambria Math" w:hAnsi="Cambria Math"/>
          <w:i/>
          <w:color w:val="1E293B"/>
          <w:sz w:val="18"/>
        </w:rPr>
        <w:t>Z_t ≥ 2.0</w:t>
      </w:r>
      <w:r>
        <w:rPr>
          <w:rFonts w:ascii="Segoe UI" w:hAnsi="Segoe UI"/>
          <w:color w:val="1E293B"/>
          <w:sz w:val="18"/>
        </w:rPr>
        <w:t xml:space="preserve"> and reported cases exceed 50.</w:t>
      </w:r>
    </w:p>
    <w:p w14:paraId="45CC1F69" w14:textId="77777777" w:rsidR="002D7F6C" w:rsidRDefault="00000000">
      <w:pPr>
        <w:pStyle w:val="ListNumber"/>
        <w:spacing w:before="20" w:after="40"/>
      </w:pPr>
      <w:r>
        <w:rPr>
          <w:rFonts w:ascii="Segoe UI" w:hAnsi="Segoe UI"/>
          <w:i/>
          <w:color w:val="1E293B"/>
          <w:sz w:val="18"/>
        </w:rPr>
        <w:t>Time-Ordered Forecasting</w:t>
      </w:r>
      <w:r>
        <w:rPr>
          <w:rFonts w:ascii="Segoe UI" w:hAnsi="Segoe UI"/>
          <w:color w:val="1E293B"/>
          <w:sz w:val="18"/>
        </w:rPr>
        <w:t>: Chronologically partitions global Measles incidence into training (1974–2014, 41 years) and held-out test (2015–2024, 10 years). Benchmarks the one-step-ahead Naive Persistence model (ŷ_{t|t-1} = y_{t-1}):</w:t>
      </w:r>
    </w:p>
    <w:p w14:paraId="4FB95ECE" w14:textId="1576D28B" w:rsidR="00A64601" w:rsidRPr="00A64601" w:rsidRDefault="00A64601" w:rsidP="00A64601">
      <w:pPr>
        <w:spacing w:before="80" w:after="80"/>
        <w:jc w:val="center"/>
      </w:pPr>
      <m:oMathPara>
        <m:oMath>
          <m:acc>
            <m:accPr>
              <m:ctrlPr>
                <w:rPr>
                  <w:rFonts w:ascii="Cambria Math" w:hAnsi="Cambria Math"/>
                  <w:i/>
                </w:rPr>
              </m:ctrlPr>
            </m:accPr>
            <m:e>
              <m:acc>
                <m:accPr>
                  <m:ctrlPr>
                    <w:rPr>
                      <w:rFonts w:ascii="Cambria Math" w:hAnsi="Cambria Math"/>
                      <w:i/>
                    </w:rPr>
                  </m:ctrlPr>
                </m:accPr>
                <m:e/>
              </m:acc>
            </m:e>
          </m:acc>
          <m:sSub>
            <m:sSubPr>
              <m:ctrlPr>
                <w:rPr>
                  <w:rFonts w:ascii="Cambria Math" w:hAnsi="Cambria Math"/>
                  <w:i/>
                </w:rPr>
              </m:ctrlPr>
            </m:sSubPr>
            <m:e>
              <m:d>
                <m:dPr>
                  <m:begChr m:val="{"/>
                  <m:endChr m:val="}"/>
                  <m:ctrlPr>
                    <w:rPr>
                      <w:rFonts w:ascii="Cambria Math" w:hAnsi="Cambria Math"/>
                      <w:i/>
                    </w:rPr>
                  </m:ctrlPr>
                </m:dPr>
                <m:e>
                  <m:r>
                    <w:rPr>
                      <w:rFonts w:ascii="Cambria Math" w:hAnsi="Cambria Math"/>
                    </w:rPr>
                    <m:t>y</m:t>
                  </m:r>
                </m:e>
              </m:d>
            </m:e>
            <m:sub>
              <m:d>
                <m:dPr>
                  <m:begChr m:val="{"/>
                  <m:endChr m:val="}"/>
                  <m:ctrlPr>
                    <w:rPr>
                      <w:rFonts w:ascii="Cambria Math" w:hAnsi="Cambria Math"/>
                      <w:i/>
                    </w:rPr>
                  </m:ctrlPr>
                </m:dPr>
                <m:e>
                  <m:r>
                    <w:rPr>
                      <w:rFonts w:ascii="Cambria Math" w:hAnsi="Cambria Math"/>
                    </w:rPr>
                    <m:t>t</m:t>
                  </m:r>
                </m:e>
                <m:e>
                  <m:r>
                    <w:rPr>
                      <w:rFonts w:ascii="Cambria Math" w:hAnsi="Cambria Math"/>
                    </w:rPr>
                    <m:t>t-1</m:t>
                  </m:r>
                </m:e>
              </m:d>
            </m:sub>
          </m:sSub>
          <m:r>
            <w:rPr>
              <w:rFonts w:ascii="Cambria Math" w:hAnsi="Cambria Math"/>
            </w:rPr>
            <m:t>=</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oMath>
      </m:oMathPara>
    </w:p>
    <w:p w14:paraId="5202A26D" w14:textId="77777777" w:rsidR="002D7F6C" w:rsidRDefault="00000000">
      <w:pPr>
        <w:spacing w:after="80"/>
      </w:pPr>
      <w:r>
        <w:rPr>
          <w:rFonts w:ascii="Segoe UI" w:hAnsi="Segoe UI"/>
          <w:color w:val="1E293B"/>
          <w:sz w:val="18"/>
        </w:rPr>
        <w:t>alongside a 3-Year Moving Average and Autoregressive Ridge Regression with Lag-1, Lag-2, and linear trend. Because lag features are constructed across the continuous time series before the chronological split, the prediction for the first test year (2015) correctly accesses the final training observation (2014) as its lagged input (</w:t>
      </w:r>
      <w:r>
        <w:rPr>
          <w:rFonts w:ascii="Cambria Math" w:hAnsi="Cambria Math"/>
          <w:i/>
          <w:color w:val="1E293B"/>
          <w:sz w:val="18"/>
        </w:rPr>
        <w:t>y_2014</w:t>
      </w:r>
      <w:r>
        <w:rPr>
          <w:rFonts w:ascii="Segoe UI" w:hAnsi="Segoe UI"/>
          <w:color w:val="1E293B"/>
          <w:sz w:val="18"/>
        </w:rPr>
        <w:t>).</w:t>
      </w:r>
    </w:p>
    <w:p w14:paraId="4A1E20AA" w14:textId="7777777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src/analysis/analyze_epidemiological_trends.py</w:t>
      </w:r>
      <w:r>
        <w:rPr>
          <w:rFonts w:ascii="Segoe UI" w:hAnsi="Segoe UI"/>
          <w:color w:val="1E293B"/>
          <w:sz w:val="18"/>
        </w:rPr>
        <w:t>.</w:t>
      </w:r>
    </w:p>
    <w:p w14:paraId="00D7F746" w14:textId="77777777" w:rsidR="002D7F6C" w:rsidRDefault="00000000">
      <w:pPr>
        <w:pStyle w:val="ListBullet"/>
        <w:spacing w:before="20" w:after="40"/>
      </w:pPr>
      <w:r>
        <w:rPr>
          <w:rFonts w:ascii="Segoe UI" w:hAnsi="Segoe UI"/>
          <w:b/>
          <w:color w:val="1E293B"/>
          <w:sz w:val="18"/>
        </w:rPr>
        <w:lastRenderedPageBreak/>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5DC09A5" w14:textId="77777777">
        <w:trPr>
          <w:jc w:val="center"/>
        </w:trPr>
        <w:tc>
          <w:tcPr>
            <w:tcW w:w="9749" w:type="dxa"/>
            <w:shd w:val="clear" w:color="auto" w:fill="F8FAFC"/>
            <w:tcMar>
              <w:top w:w="90" w:type="dxa"/>
              <w:left w:w="130" w:type="dxa"/>
              <w:bottom w:w="90" w:type="dxa"/>
              <w:right w:w="130" w:type="dxa"/>
            </w:tcMar>
          </w:tcPr>
          <w:p w14:paraId="7835DFEA" w14:textId="77777777" w:rsidR="002D7F6C" w:rsidRDefault="00000000">
            <w:pPr>
              <w:spacing w:after="0"/>
            </w:pPr>
            <w:r>
              <w:rPr>
                <w:rFonts w:ascii="Consolas" w:hAnsi="Consolas"/>
                <w:color w:val="1E293B"/>
                <w:sz w:val="15"/>
              </w:rPr>
              <w:t>python src/analysis/analyze_epidemiological_trends.py</w:t>
            </w:r>
          </w:p>
        </w:tc>
      </w:tr>
    </w:tbl>
    <w:p w14:paraId="256AEB11" w14:textId="77777777" w:rsidR="002D7F6C" w:rsidRDefault="002D7F6C">
      <w:pPr>
        <w:spacing w:after="80"/>
      </w:pPr>
    </w:p>
    <w:p w14:paraId="11C8A2C7"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3C3428FB" w14:textId="77777777">
        <w:trPr>
          <w:jc w:val="center"/>
        </w:trPr>
        <w:tc>
          <w:tcPr>
            <w:tcW w:w="9749" w:type="dxa"/>
            <w:shd w:val="clear" w:color="auto" w:fill="F8FAFC"/>
            <w:tcMar>
              <w:top w:w="90" w:type="dxa"/>
              <w:left w:w="130" w:type="dxa"/>
              <w:bottom w:w="90" w:type="dxa"/>
              <w:right w:w="130" w:type="dxa"/>
            </w:tcMar>
          </w:tcPr>
          <w:p w14:paraId="5919573A" w14:textId="77777777" w:rsidR="002D7F6C" w:rsidRDefault="00000000">
            <w:pPr>
              <w:spacing w:after="0"/>
            </w:pPr>
            <w:r>
              <w:rPr>
                <w:rFonts w:ascii="Consolas" w:hAnsi="Consolas"/>
                <w:color w:val="1E293B"/>
                <w:sz w:val="15"/>
              </w:rPr>
              <w:t># Shifted rolling Z-score to prevent contemporaneous information leakage</w:t>
            </w:r>
            <w:r>
              <w:rPr>
                <w:rFonts w:ascii="Consolas" w:hAnsi="Consolas"/>
                <w:color w:val="1E293B"/>
                <w:sz w:val="15"/>
              </w:rPr>
              <w:br/>
              <w:t>cases = g["reported_cases"].fillna(0)</w:t>
            </w:r>
            <w:r>
              <w:rPr>
                <w:rFonts w:ascii="Consolas" w:hAnsi="Consolas"/>
                <w:color w:val="1E293B"/>
                <w:sz w:val="15"/>
              </w:rPr>
              <w:br/>
              <w:t>roll_mean = cases.shift(1).rolling(window=5, min_periods=2).mean()</w:t>
            </w:r>
            <w:r>
              <w:rPr>
                <w:rFonts w:ascii="Consolas" w:hAnsi="Consolas"/>
                <w:color w:val="1E293B"/>
                <w:sz w:val="15"/>
              </w:rPr>
              <w:br/>
              <w:t>roll_std = cases.shift(1).rolling(window=5, min_periods=2).std().replace(0, np.nan)</w:t>
            </w:r>
            <w:r>
              <w:rPr>
                <w:rFonts w:ascii="Consolas" w:hAnsi="Consolas"/>
                <w:color w:val="1E293B"/>
                <w:sz w:val="15"/>
              </w:rPr>
              <w:br/>
              <w:t>z_score = (cases - roll_mean) / roll_std</w:t>
            </w:r>
            <w:r>
              <w:rPr>
                <w:rFonts w:ascii="Consolas" w:hAnsi="Consolas"/>
                <w:color w:val="1E293B"/>
                <w:sz w:val="15"/>
              </w:rPr>
              <w:br/>
              <w:t>is_surge = (z_score &gt;= 2.0) &amp; (cases &gt; 50)</w:t>
            </w:r>
            <w:r>
              <w:rPr>
                <w:rFonts w:ascii="Consolas" w:hAnsi="Consolas"/>
                <w:color w:val="1E293B"/>
                <w:sz w:val="15"/>
              </w:rPr>
              <w:br/>
            </w:r>
            <w:r>
              <w:rPr>
                <w:rFonts w:ascii="Consolas" w:hAnsi="Consolas"/>
                <w:color w:val="1E293B"/>
                <w:sz w:val="15"/>
              </w:rPr>
              <w:br/>
              <w:t># Time-ordered forecasting on held-out window (2015-2024)</w:t>
            </w:r>
            <w:r>
              <w:rPr>
                <w:rFonts w:ascii="Consolas" w:hAnsi="Consolas"/>
                <w:color w:val="1E293B"/>
                <w:sz w:val="15"/>
              </w:rPr>
              <w:br/>
              <w:t># Lags constructed on continuous series so first test year (2015) uses 2014 train observation</w:t>
            </w:r>
            <w:r>
              <w:rPr>
                <w:rFonts w:ascii="Consolas" w:hAnsi="Consolas"/>
                <w:color w:val="1E293B"/>
                <w:sz w:val="15"/>
              </w:rPr>
              <w:br/>
              <w:t>measles_global["lag1"] = measles_global["reported_cases"].shift(1)</w:t>
            </w:r>
            <w:r>
              <w:rPr>
                <w:rFonts w:ascii="Consolas" w:hAnsi="Consolas"/>
                <w:color w:val="1E293B"/>
                <w:sz w:val="15"/>
              </w:rPr>
              <w:br/>
              <w:t>measles_global["lag2"] = measles_global["reported_cases"].shift(2)</w:t>
            </w:r>
            <w:r>
              <w:rPr>
                <w:rFonts w:ascii="Consolas" w:hAnsi="Consolas"/>
                <w:color w:val="1E293B"/>
                <w:sz w:val="15"/>
              </w:rPr>
              <w:br/>
            </w:r>
            <w:r>
              <w:rPr>
                <w:rFonts w:ascii="Consolas" w:hAnsi="Consolas"/>
                <w:color w:val="1E293B"/>
                <w:sz w:val="15"/>
              </w:rPr>
              <w:br/>
              <w:t>m_train = measles_global[measles_global["year"] &lt;= 2014].dropna()</w:t>
            </w:r>
            <w:r>
              <w:rPr>
                <w:rFonts w:ascii="Consolas" w:hAnsi="Consolas"/>
                <w:color w:val="1E293B"/>
                <w:sz w:val="15"/>
              </w:rPr>
              <w:br/>
              <w:t>m_test = measles_global[measles_global["year"] &gt; 2014].copy()</w:t>
            </w:r>
            <w:r>
              <w:rPr>
                <w:rFonts w:ascii="Consolas" w:hAnsi="Consolas"/>
                <w:color w:val="1E293B"/>
                <w:sz w:val="15"/>
              </w:rPr>
              <w:br/>
            </w:r>
            <w:r>
              <w:rPr>
                <w:rFonts w:ascii="Consolas" w:hAnsi="Consolas"/>
                <w:color w:val="1E293B"/>
                <w:sz w:val="15"/>
              </w:rPr>
              <w:br/>
              <w:t>pred_naive = m_test["lag1"].values</w:t>
            </w:r>
            <w:r>
              <w:rPr>
                <w:rFonts w:ascii="Consolas" w:hAnsi="Consolas"/>
                <w:color w:val="1E293B"/>
                <w:sz w:val="15"/>
              </w:rPr>
              <w:br/>
              <w:t>pred_roll = (</w:t>
            </w:r>
            <w:r>
              <w:rPr>
                <w:rFonts w:ascii="Consolas" w:hAnsi="Consolas"/>
                <w:color w:val="1E293B"/>
                <w:sz w:val="15"/>
              </w:rPr>
              <w:br/>
              <w:t xml:space="preserve">    measles_global["reported_cases"]</w:t>
            </w:r>
            <w:r>
              <w:rPr>
                <w:rFonts w:ascii="Consolas" w:hAnsi="Consolas"/>
                <w:color w:val="1E293B"/>
                <w:sz w:val="15"/>
              </w:rPr>
              <w:br/>
              <w:t xml:space="preserve">    .shift(1)</w:t>
            </w:r>
            <w:r>
              <w:rPr>
                <w:rFonts w:ascii="Consolas" w:hAnsi="Consolas"/>
                <w:color w:val="1E293B"/>
                <w:sz w:val="15"/>
              </w:rPr>
              <w:br/>
              <w:t xml:space="preserve">    .rolling(3, min_periods=1)</w:t>
            </w:r>
            <w:r>
              <w:rPr>
                <w:rFonts w:ascii="Consolas" w:hAnsi="Consolas"/>
                <w:color w:val="1E293B"/>
                <w:sz w:val="15"/>
              </w:rPr>
              <w:br/>
              <w:t xml:space="preserve">    .mean()</w:t>
            </w:r>
            <w:r>
              <w:rPr>
                <w:rFonts w:ascii="Consolas" w:hAnsi="Consolas"/>
                <w:color w:val="1E293B"/>
                <w:sz w:val="15"/>
              </w:rPr>
              <w:br/>
              <w:t xml:space="preserve">    .loc[m_test.index]</w:t>
            </w:r>
            <w:r>
              <w:rPr>
                <w:rFonts w:ascii="Consolas" w:hAnsi="Consolas"/>
                <w:color w:val="1E293B"/>
                <w:sz w:val="15"/>
              </w:rPr>
              <w:br/>
              <w:t xml:space="preserve">    .values</w:t>
            </w:r>
            <w:r>
              <w:rPr>
                <w:rFonts w:ascii="Consolas" w:hAnsi="Consolas"/>
                <w:color w:val="1E293B"/>
                <w:sz w:val="15"/>
              </w:rPr>
              <w:br/>
              <w:t>)</w:t>
            </w:r>
          </w:p>
        </w:tc>
      </w:tr>
    </w:tbl>
    <w:p w14:paraId="38150804" w14:textId="77777777" w:rsidR="002D7F6C" w:rsidRDefault="002D7F6C">
      <w:pPr>
        <w:spacing w:after="80"/>
      </w:pPr>
    </w:p>
    <w:p w14:paraId="19E14B56"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data/processed/epidemiological_trends.csv</w:t>
      </w:r>
      <w:r>
        <w:rPr>
          <w:rFonts w:ascii="Segoe UI" w:hAnsi="Segoe UI"/>
          <w:color w:val="1E293B"/>
          <w:sz w:val="18"/>
        </w:rPr>
        <w:t xml:space="preserve"> (5,426 rows), </w:t>
      </w:r>
      <w:r>
        <w:rPr>
          <w:rFonts w:ascii="Consolas" w:hAnsi="Consolas"/>
          <w:color w:val="0284C7"/>
          <w:sz w:val="16"/>
        </w:rPr>
        <w:t>outputs/epidemiological_analysis/outbreak_surge_detection.png</w:t>
      </w:r>
      <w:r>
        <w:rPr>
          <w:rFonts w:ascii="Segoe UI" w:hAnsi="Segoe UI"/>
          <w:color w:val="1E293B"/>
          <w:sz w:val="18"/>
        </w:rPr>
        <w:t xml:space="preserve">, </w:t>
      </w:r>
      <w:r>
        <w:rPr>
          <w:rFonts w:ascii="Consolas" w:hAnsi="Consolas"/>
          <w:color w:val="0284C7"/>
          <w:sz w:val="16"/>
        </w:rPr>
        <w:t>outputs/epidemiological_analysis/forecasting_model_comparison.png</w:t>
      </w:r>
      <w:r>
        <w:rPr>
          <w:rFonts w:ascii="Segoe UI" w:hAnsi="Segoe UI"/>
          <w:color w:val="1E293B"/>
          <w:sz w:val="18"/>
        </w:rPr>
        <w:t>.</w:t>
      </w:r>
    </w:p>
    <w:p w14:paraId="7313D976" w14:textId="74B38895"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xml:space="preserve">: </w:t>
      </w:r>
      <w:r w:rsidR="00F70AF2" w:rsidRPr="00F70AF2">
        <w:rPr>
          <w:rFonts w:ascii="Segoe UI" w:hAnsi="Segoe UI"/>
          <w:color w:val="1E293B"/>
          <w:sz w:val="18"/>
        </w:rPr>
        <w:t>Detected 224 outbreak surges. Empirical forecasting demonstrated that Naive Persistence (MAPE = 91.95%) outperformed the tested alternatives (3-Year Moving Average at 105.93% and Autoregressive Ridge at 240.19%) specifically on this 2015–2024 test window. This empirical result reflects the severe non-stationarity of this specific evaluation period rather than a general superiority over all time-series modeling architectures.</w:t>
      </w:r>
    </w:p>
    <w:p w14:paraId="5B8A7F0C" w14:textId="77777777" w:rsidR="002D7F6C" w:rsidRDefault="00000000">
      <w:pPr>
        <w:keepNext/>
        <w:spacing w:before="180" w:after="60"/>
      </w:pPr>
      <w:r>
        <w:rPr>
          <w:rFonts w:ascii="Segoe UI" w:hAnsi="Segoe UI"/>
          <w:b/>
          <w:color w:val="0F172A"/>
          <w:sz w:val="20"/>
        </w:rPr>
        <w:t>4.4 Module 4: Master Therapeutic Timeline Validation and Regulatory Audit</w:t>
      </w:r>
    </w:p>
    <w:p w14:paraId="6B38E0E0"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Process the 114 MB master timeline dataset in chunked memory streams to audit Cartesian expansion and regulatory evidence categories.</w:t>
      </w:r>
    </w:p>
    <w:p w14:paraId="0017D256" w14:textId="77777777" w:rsidR="002D7F6C" w:rsidRDefault="00000000">
      <w:pPr>
        <w:pStyle w:val="ListBullet"/>
        <w:spacing w:before="20" w:after="40"/>
      </w:pPr>
      <w:r>
        <w:rPr>
          <w:rFonts w:ascii="Segoe UI" w:hAnsi="Segoe UI"/>
          <w:b/>
          <w:color w:val="1E293B"/>
          <w:sz w:val="18"/>
        </w:rPr>
        <w:t>Input Datasets</w:t>
      </w:r>
      <w:r>
        <w:rPr>
          <w:rFonts w:ascii="Segoe UI" w:hAnsi="Segoe UI"/>
          <w:color w:val="1E293B"/>
          <w:sz w:val="18"/>
        </w:rPr>
        <w:t xml:space="preserve">: </w:t>
      </w:r>
      <w:r>
        <w:rPr>
          <w:rFonts w:ascii="Consolas" w:hAnsi="Consolas"/>
          <w:color w:val="0284C7"/>
          <w:sz w:val="16"/>
        </w:rPr>
        <w:t>data/processed/fda_drug_approval_timeline.csv</w:t>
      </w:r>
      <w:r>
        <w:rPr>
          <w:rFonts w:ascii="Segoe UI" w:hAnsi="Segoe UI"/>
          <w:color w:val="1E293B"/>
          <w:sz w:val="18"/>
        </w:rPr>
        <w:t xml:space="preserve">, </w:t>
      </w:r>
      <w:r>
        <w:rPr>
          <w:rFonts w:ascii="Consolas" w:hAnsi="Consolas"/>
          <w:color w:val="0284C7"/>
          <w:sz w:val="16"/>
        </w:rPr>
        <w:t>data/processed/therapeutic_development_timeline.csv</w:t>
      </w:r>
      <w:r>
        <w:rPr>
          <w:rFonts w:ascii="Segoe UI" w:hAnsi="Segoe UI"/>
          <w:color w:val="1E293B"/>
          <w:sz w:val="18"/>
        </w:rPr>
        <w:t>.</w:t>
      </w:r>
    </w:p>
    <w:p w14:paraId="2CECE285" w14:textId="77777777"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 Implements chunked stream processing (</w:t>
      </w:r>
      <w:r>
        <w:rPr>
          <w:rFonts w:ascii="Consolas" w:hAnsi="Consolas"/>
          <w:color w:val="0284C7"/>
          <w:sz w:val="16"/>
        </w:rPr>
        <w:t>chunksize = 100,000</w:t>
      </w:r>
      <w:r>
        <w:rPr>
          <w:rFonts w:ascii="Segoe UI" w:hAnsi="Segoe UI"/>
          <w:color w:val="1E293B"/>
          <w:sz w:val="18"/>
        </w:rPr>
        <w:t xml:space="preserve">) using </w:t>
      </w:r>
      <w:r>
        <w:rPr>
          <w:rFonts w:ascii="Consolas" w:hAnsi="Consolas"/>
          <w:color w:val="0284C7"/>
          <w:sz w:val="16"/>
        </w:rPr>
        <w:t>pandas</w:t>
      </w:r>
      <w:r>
        <w:rPr>
          <w:rFonts w:ascii="Segoe UI" w:hAnsi="Segoe UI"/>
          <w:color w:val="1E293B"/>
          <w:sz w:val="18"/>
        </w:rPr>
        <w:t xml:space="preserve"> to aggregate 555,323 rows without memory exhaustion. Calculates unique entity counts, matches active ingredients to ChEMBL, and classifies rows by development phase.</w:t>
      </w:r>
    </w:p>
    <w:p w14:paraId="16BAC16A" w14:textId="7777777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src/analysis/validate_therapeutic_timeline.py</w:t>
      </w:r>
      <w:r>
        <w:rPr>
          <w:rFonts w:ascii="Segoe UI" w:hAnsi="Segoe UI"/>
          <w:color w:val="1E293B"/>
          <w:sz w:val="18"/>
        </w:rPr>
        <w:t>.</w:t>
      </w:r>
    </w:p>
    <w:p w14:paraId="159AD05C" w14:textId="77777777" w:rsidR="002D7F6C" w:rsidRDefault="00000000">
      <w:pPr>
        <w:pStyle w:val="ListBullet"/>
        <w:spacing w:before="20" w:after="40"/>
      </w:pPr>
      <w:r>
        <w:rPr>
          <w:rFonts w:ascii="Segoe UI" w:hAnsi="Segoe UI"/>
          <w:b/>
          <w:color w:val="1E293B"/>
          <w:sz w:val="18"/>
        </w:rPr>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544545DF" w14:textId="77777777">
        <w:trPr>
          <w:jc w:val="center"/>
        </w:trPr>
        <w:tc>
          <w:tcPr>
            <w:tcW w:w="9749" w:type="dxa"/>
            <w:shd w:val="clear" w:color="auto" w:fill="F8FAFC"/>
            <w:tcMar>
              <w:top w:w="90" w:type="dxa"/>
              <w:left w:w="130" w:type="dxa"/>
              <w:bottom w:w="90" w:type="dxa"/>
              <w:right w:w="130" w:type="dxa"/>
            </w:tcMar>
          </w:tcPr>
          <w:p w14:paraId="6F380C85" w14:textId="77777777" w:rsidR="002D7F6C" w:rsidRDefault="00000000">
            <w:pPr>
              <w:spacing w:after="0"/>
            </w:pPr>
            <w:r>
              <w:rPr>
                <w:rFonts w:ascii="Consolas" w:hAnsi="Consolas"/>
                <w:color w:val="1E293B"/>
                <w:sz w:val="15"/>
              </w:rPr>
              <w:t>python src/analysis/validate_therapeutic_timeline.py</w:t>
            </w:r>
          </w:p>
        </w:tc>
      </w:tr>
    </w:tbl>
    <w:p w14:paraId="00966A16" w14:textId="77777777" w:rsidR="002D7F6C" w:rsidRDefault="002D7F6C">
      <w:pPr>
        <w:spacing w:after="80"/>
      </w:pPr>
    </w:p>
    <w:p w14:paraId="25707AF3"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159DB1B" w14:textId="77777777">
        <w:trPr>
          <w:jc w:val="center"/>
        </w:trPr>
        <w:tc>
          <w:tcPr>
            <w:tcW w:w="9749" w:type="dxa"/>
            <w:shd w:val="clear" w:color="auto" w:fill="F8FAFC"/>
            <w:tcMar>
              <w:top w:w="90" w:type="dxa"/>
              <w:left w:w="130" w:type="dxa"/>
              <w:bottom w:w="90" w:type="dxa"/>
              <w:right w:w="130" w:type="dxa"/>
            </w:tcMar>
          </w:tcPr>
          <w:p w14:paraId="67299584" w14:textId="77777777" w:rsidR="002D7F6C" w:rsidRDefault="00000000">
            <w:pPr>
              <w:spacing w:after="0"/>
            </w:pPr>
            <w:r>
              <w:rPr>
                <w:rFonts w:ascii="Consolas" w:hAnsi="Consolas"/>
                <w:color w:val="1E293B"/>
                <w:sz w:val="15"/>
              </w:rPr>
              <w:t>total_rows = 0</w:t>
            </w:r>
            <w:r>
              <w:rPr>
                <w:rFonts w:ascii="Consolas" w:hAnsi="Consolas"/>
                <w:color w:val="1E293B"/>
                <w:sz w:val="15"/>
              </w:rPr>
              <w:br/>
              <w:t>disease_mol_pairs = set()</w:t>
            </w:r>
            <w:r>
              <w:rPr>
                <w:rFonts w:ascii="Consolas" w:hAnsi="Consolas"/>
                <w:color w:val="1E293B"/>
                <w:sz w:val="15"/>
              </w:rPr>
              <w:br/>
            </w:r>
            <w:r>
              <w:rPr>
                <w:rFonts w:ascii="Consolas" w:hAnsi="Consolas"/>
                <w:color w:val="1E293B"/>
                <w:sz w:val="15"/>
              </w:rPr>
              <w:br/>
              <w:t># Chunked stream processing (chunksize = 100,000) for 114 MB master timeline</w:t>
            </w:r>
            <w:r>
              <w:rPr>
                <w:rFonts w:ascii="Consolas" w:hAnsi="Consolas"/>
                <w:color w:val="1E293B"/>
                <w:sz w:val="15"/>
              </w:rPr>
              <w:br/>
              <w:t>for chunk in pd.read_csv(timeline_path, usecols=use_cols, chunksize=100000):</w:t>
            </w:r>
            <w:r>
              <w:rPr>
                <w:rFonts w:ascii="Consolas" w:hAnsi="Consolas"/>
                <w:color w:val="1E293B"/>
                <w:sz w:val="15"/>
              </w:rPr>
              <w:br/>
              <w:t xml:space="preserve">    total_rows += len(chunk)</w:t>
            </w:r>
            <w:r>
              <w:rPr>
                <w:rFonts w:ascii="Consolas" w:hAnsi="Consolas"/>
                <w:color w:val="1E293B"/>
                <w:sz w:val="15"/>
              </w:rPr>
              <w:br/>
            </w:r>
            <w:r>
              <w:rPr>
                <w:rFonts w:ascii="Consolas" w:hAnsi="Consolas"/>
                <w:color w:val="1E293B"/>
                <w:sz w:val="15"/>
              </w:rPr>
              <w:lastRenderedPageBreak/>
              <w:t xml:space="preserve">    pairs = set(zip(chunk["disease_name"], chunk["chembl_molecule_id"]))</w:t>
            </w:r>
            <w:r>
              <w:rPr>
                <w:rFonts w:ascii="Consolas" w:hAnsi="Consolas"/>
                <w:color w:val="1E293B"/>
                <w:sz w:val="15"/>
              </w:rPr>
              <w:br/>
              <w:t xml:space="preserve">    disease_mol_pairs.update(pairs)</w:t>
            </w:r>
            <w:r>
              <w:rPr>
                <w:rFonts w:ascii="Consolas" w:hAnsi="Consolas"/>
                <w:color w:val="1E293B"/>
                <w:sz w:val="15"/>
              </w:rPr>
              <w:br/>
            </w:r>
            <w:r>
              <w:rPr>
                <w:rFonts w:ascii="Consolas" w:hAnsi="Consolas"/>
                <w:color w:val="1E293B"/>
                <w:sz w:val="15"/>
              </w:rPr>
              <w:br/>
              <w:t># Disambiguate Cartesian expansion factor (exactly 18.25x)</w:t>
            </w:r>
            <w:r>
              <w:rPr>
                <w:rFonts w:ascii="Consolas" w:hAnsi="Consolas"/>
                <w:color w:val="1E293B"/>
                <w:sz w:val="15"/>
              </w:rPr>
              <w:br/>
              <w:t>redundancy_factor = total_rows / len(disease_mol_pairs)</w:t>
            </w:r>
          </w:p>
        </w:tc>
      </w:tr>
    </w:tbl>
    <w:p w14:paraId="2F377D6A" w14:textId="77777777" w:rsidR="002D7F6C" w:rsidRDefault="002D7F6C">
      <w:pPr>
        <w:spacing w:after="80"/>
      </w:pPr>
    </w:p>
    <w:p w14:paraId="7ED326D8"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outputs/timeline_analysis/timeline_quality_report.txt</w:t>
      </w:r>
      <w:r>
        <w:rPr>
          <w:rFonts w:ascii="Segoe UI" w:hAnsi="Segoe UI"/>
          <w:color w:val="1E293B"/>
          <w:sz w:val="18"/>
        </w:rPr>
        <w:t xml:space="preserve">, </w:t>
      </w:r>
      <w:r>
        <w:rPr>
          <w:rFonts w:ascii="Consolas" w:hAnsi="Consolas"/>
          <w:color w:val="0284C7"/>
          <w:sz w:val="16"/>
        </w:rPr>
        <w:t>outputs/timeline_analysis/mapping_audit_summary.json</w:t>
      </w:r>
      <w:r>
        <w:rPr>
          <w:rFonts w:ascii="Segoe UI" w:hAnsi="Segoe UI"/>
          <w:color w:val="1E293B"/>
          <w:sz w:val="18"/>
        </w:rPr>
        <w:t xml:space="preserve">, </w:t>
      </w:r>
      <w:r>
        <w:rPr>
          <w:rFonts w:ascii="Consolas" w:hAnsi="Consolas"/>
          <w:color w:val="0284C7"/>
          <w:sz w:val="16"/>
        </w:rPr>
        <w:t>outputs/timeline_analysis/timeline_evidence_classification.png</w:t>
      </w:r>
      <w:r>
        <w:rPr>
          <w:rFonts w:ascii="Segoe UI" w:hAnsi="Segoe UI"/>
          <w:color w:val="1E293B"/>
          <w:sz w:val="18"/>
        </w:rPr>
        <w:t xml:space="preserve">, </w:t>
      </w:r>
      <w:r>
        <w:rPr>
          <w:rFonts w:ascii="Consolas" w:hAnsi="Consolas"/>
          <w:color w:val="0284C7"/>
          <w:sz w:val="16"/>
        </w:rPr>
        <w:t>outputs/timeline_analysis/cartesian_duplication_impact.png</w:t>
      </w:r>
      <w:r>
        <w:rPr>
          <w:rFonts w:ascii="Segoe UI" w:hAnsi="Segoe UI"/>
          <w:color w:val="1E293B"/>
          <w:sz w:val="18"/>
        </w:rPr>
        <w:t>.</w:t>
      </w:r>
    </w:p>
    <w:p w14:paraId="0586166C" w14:textId="77777777"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xml:space="preserve">: Delineated 72,277 records representing FDA-approved molecules with a ChEMBL Phase 4 record (13.02%) from 483,043 investigational indication records (86.98%) and 3 preclinical records. Documented the </w:t>
      </w:r>
      <w:r>
        <w:rPr>
          <w:rFonts w:ascii="Cambria Math" w:hAnsi="Cambria Math"/>
          <w:i/>
          <w:color w:val="1E293B"/>
          <w:sz w:val="18"/>
        </w:rPr>
        <w:t>18.25×</w:t>
      </w:r>
      <w:r>
        <w:rPr>
          <w:rFonts w:ascii="Segoe UI" w:hAnsi="Segoe UI"/>
          <w:color w:val="1E293B"/>
          <w:sz w:val="18"/>
        </w:rPr>
        <w:t xml:space="preserve"> Cartesian duplication factor, establishing that these categories represent joined product and indication database rows rather than unique clinical trials or verified indication-specific FDA approvals.</w:t>
      </w:r>
    </w:p>
    <w:p w14:paraId="0416DAB8" w14:textId="77777777" w:rsidR="002D7F6C" w:rsidRDefault="00000000">
      <w:pPr>
        <w:keepNext/>
        <w:spacing w:before="180" w:after="60"/>
      </w:pPr>
      <w:r>
        <w:rPr>
          <w:rFonts w:ascii="Segoe UI" w:hAnsi="Segoe UI"/>
          <w:b/>
          <w:color w:val="0F172A"/>
          <w:sz w:val="20"/>
        </w:rPr>
        <w:t>4.5 Module 5: Experimental Biopharmaceutical Latency Forecasting Prototype</w:t>
      </w:r>
    </w:p>
    <w:p w14:paraId="7BD18222"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Model clinical development latencies and transition windows for disease pipelines based on biopharmaceutical industry benchmarks.</w:t>
      </w:r>
    </w:p>
    <w:p w14:paraId="2F7A4285" w14:textId="77777777" w:rsidR="002D7F6C" w:rsidRDefault="00000000">
      <w:pPr>
        <w:pStyle w:val="ListBullet"/>
        <w:spacing w:before="20" w:after="40"/>
      </w:pPr>
      <w:r>
        <w:rPr>
          <w:rFonts w:ascii="Segoe UI" w:hAnsi="Segoe UI"/>
          <w:b/>
          <w:color w:val="1E293B"/>
          <w:sz w:val="18"/>
        </w:rPr>
        <w:t>Input Dataset</w:t>
      </w:r>
      <w:r>
        <w:rPr>
          <w:rFonts w:ascii="Segoe UI" w:hAnsi="Segoe UI"/>
          <w:color w:val="1E293B"/>
          <w:sz w:val="18"/>
        </w:rPr>
        <w:t xml:space="preserve">: </w:t>
      </w:r>
      <w:r>
        <w:rPr>
          <w:rFonts w:ascii="Consolas" w:hAnsi="Consolas"/>
          <w:color w:val="0284C7"/>
          <w:sz w:val="16"/>
        </w:rPr>
        <w:t>data/processed/therapeutic_candidate_rankings.csv</w:t>
      </w:r>
      <w:r>
        <w:rPr>
          <w:rFonts w:ascii="Segoe UI" w:hAnsi="Segoe UI"/>
          <w:color w:val="1E293B"/>
          <w:sz w:val="18"/>
        </w:rPr>
        <w:t>.</w:t>
      </w:r>
    </w:p>
    <w:p w14:paraId="0056BF03" w14:textId="0A4CDAF0"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 xml:space="preserve">: </w:t>
      </w:r>
      <w:r w:rsidR="00F70AF2" w:rsidRPr="00F70AF2">
        <w:rPr>
          <w:rFonts w:ascii="Segoe UI" w:hAnsi="Segoe UI"/>
          <w:color w:val="1E293B"/>
          <w:sz w:val="18"/>
        </w:rPr>
        <w:t>Applies literature benchmarks from DiMasi et al. (2003, 2016) and Hay et al. (2014) for median clinical trial phase durations (tau_Phase 1 = 2.1 yr, tau_Phase 2 = 3.2 yr, tau_Phase 3 = 3.8 yr, tau_NDA = 1.5 yr) and historical transition probabilities (59.5%, 35.1%, 58.6%, 90.1%). Projects median decision years (^Y = 2026 + sum tau_p) alongside heuristic ± 35% uncertainty bounds and cumulative realization probabilities.</w:t>
      </w:r>
    </w:p>
    <w:p w14:paraId="1AEA8FA3" w14:textId="4D0CA638" w:rsidR="002D7F6C" w:rsidRDefault="00000000">
      <w:pPr>
        <w:pStyle w:val="ListBullet"/>
        <w:spacing w:before="20" w:after="40"/>
        <w:ind w:left="576"/>
      </w:pPr>
      <w:r>
        <w:rPr>
          <w:rFonts w:ascii="Segoe UI" w:hAnsi="Segoe UI"/>
          <w:i/>
          <w:color w:val="1E293B"/>
          <w:sz w:val="18"/>
        </w:rPr>
        <w:t>Literature-Derived Parameters</w:t>
      </w:r>
      <w:r>
        <w:rPr>
          <w:rFonts w:ascii="Segoe UI" w:hAnsi="Segoe UI"/>
          <w:color w:val="1E293B"/>
          <w:sz w:val="18"/>
        </w:rPr>
        <w:t xml:space="preserve">: </w:t>
      </w:r>
      <w:r w:rsidR="00F70AF2" w:rsidRPr="00F70AF2">
        <w:rPr>
          <w:rFonts w:ascii="Segoe UI" w:hAnsi="Segoe UI"/>
          <w:color w:val="1E293B"/>
          <w:sz w:val="18"/>
        </w:rPr>
        <w:t>Median phase durations tau_p and empirical transition success rates are taken from published biopharmaceutical industry benchmarks.</w:t>
      </w:r>
    </w:p>
    <w:p w14:paraId="339526E0" w14:textId="64A39BF0" w:rsidR="002D7F6C" w:rsidRDefault="00000000">
      <w:pPr>
        <w:pStyle w:val="ListBullet"/>
        <w:spacing w:before="20" w:after="40"/>
        <w:ind w:left="576"/>
      </w:pPr>
      <w:r>
        <w:rPr>
          <w:rFonts w:ascii="Segoe UI" w:hAnsi="Segoe UI"/>
          <w:i/>
          <w:color w:val="1E293B"/>
          <w:sz w:val="18"/>
        </w:rPr>
        <w:t>Prototype Modeling Assumptions</w:t>
      </w:r>
      <w:r>
        <w:rPr>
          <w:rFonts w:ascii="Segoe UI" w:hAnsi="Segoe UI"/>
          <w:color w:val="1E293B"/>
          <w:sz w:val="18"/>
        </w:rPr>
        <w:t xml:space="preserve">: </w:t>
      </w:r>
      <w:r w:rsidR="00F70AF2" w:rsidRPr="00F70AF2">
        <w:rPr>
          <w:rFonts w:ascii="Segoe UI" w:hAnsi="Segoe UI"/>
          <w:color w:val="1E293B"/>
          <w:sz w:val="18"/>
        </w:rPr>
        <w:t>The ± 35% decision uncertainty bounds ([0.65× tau_cum, 1.45× tau_cum]), setting Y_base = 2026, sequential non-accelerated linear progression, and the illustrative 2114 horizon are explicit prototype modeling assumptions rather than fitted survival distributions.</w:t>
      </w:r>
    </w:p>
    <w:p w14:paraId="7C012C40" w14:textId="7777777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src/analysis/forecast_therapeutic_timeline.py</w:t>
      </w:r>
      <w:r>
        <w:rPr>
          <w:rFonts w:ascii="Segoe UI" w:hAnsi="Segoe UI"/>
          <w:color w:val="1E293B"/>
          <w:sz w:val="18"/>
        </w:rPr>
        <w:t>.</w:t>
      </w:r>
    </w:p>
    <w:p w14:paraId="540B7B06" w14:textId="77777777" w:rsidR="002D7F6C" w:rsidRDefault="00000000">
      <w:pPr>
        <w:pStyle w:val="ListBullet"/>
        <w:spacing w:before="20" w:after="40"/>
      </w:pPr>
      <w:r>
        <w:rPr>
          <w:rFonts w:ascii="Segoe UI" w:hAnsi="Segoe UI"/>
          <w:b/>
          <w:color w:val="1E293B"/>
          <w:sz w:val="18"/>
        </w:rPr>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38ABFE78" w14:textId="77777777">
        <w:trPr>
          <w:jc w:val="center"/>
        </w:trPr>
        <w:tc>
          <w:tcPr>
            <w:tcW w:w="9749" w:type="dxa"/>
            <w:shd w:val="clear" w:color="auto" w:fill="F8FAFC"/>
            <w:tcMar>
              <w:top w:w="90" w:type="dxa"/>
              <w:left w:w="130" w:type="dxa"/>
              <w:bottom w:w="90" w:type="dxa"/>
              <w:right w:w="130" w:type="dxa"/>
            </w:tcMar>
          </w:tcPr>
          <w:p w14:paraId="577B850C" w14:textId="77777777" w:rsidR="002D7F6C" w:rsidRDefault="00000000">
            <w:pPr>
              <w:spacing w:after="0"/>
            </w:pPr>
            <w:r>
              <w:rPr>
                <w:rFonts w:ascii="Consolas" w:hAnsi="Consolas"/>
                <w:color w:val="1E293B"/>
                <w:sz w:val="15"/>
              </w:rPr>
              <w:t>python src/analysis/forecast_therapeutic_timeline.py</w:t>
            </w:r>
          </w:p>
        </w:tc>
      </w:tr>
    </w:tbl>
    <w:p w14:paraId="394E04A8" w14:textId="77777777" w:rsidR="002D7F6C" w:rsidRDefault="002D7F6C">
      <w:pPr>
        <w:spacing w:after="80"/>
      </w:pPr>
    </w:p>
    <w:p w14:paraId="01156A51"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60003F20" w14:textId="77777777">
        <w:trPr>
          <w:jc w:val="center"/>
        </w:trPr>
        <w:tc>
          <w:tcPr>
            <w:tcW w:w="9749" w:type="dxa"/>
            <w:shd w:val="clear" w:color="auto" w:fill="F8FAFC"/>
            <w:tcMar>
              <w:top w:w="90" w:type="dxa"/>
              <w:left w:w="130" w:type="dxa"/>
              <w:bottom w:w="90" w:type="dxa"/>
              <w:right w:w="130" w:type="dxa"/>
            </w:tcMar>
          </w:tcPr>
          <w:p w14:paraId="2D9C4B44" w14:textId="77777777" w:rsidR="002D7F6C" w:rsidRDefault="00000000">
            <w:pPr>
              <w:spacing w:after="0"/>
            </w:pPr>
            <w:r>
              <w:rPr>
                <w:rFonts w:ascii="Consolas" w:hAnsi="Consolas"/>
                <w:color w:val="1E293B"/>
                <w:sz w:val="15"/>
              </w:rPr>
              <w:t>BENCHMARK_DURATIONS = {</w:t>
            </w:r>
            <w:r>
              <w:rPr>
                <w:rFonts w:ascii="Consolas" w:hAnsi="Consolas"/>
                <w:color w:val="1E293B"/>
                <w:sz w:val="15"/>
              </w:rPr>
              <w:br/>
              <w:t xml:space="preserve">    1.0: {"name": "Phase 1 Safety", "median_years": 2.1, "p_success": 0.59},</w:t>
            </w:r>
            <w:r>
              <w:rPr>
                <w:rFonts w:ascii="Consolas" w:hAnsi="Consolas"/>
                <w:color w:val="1E293B"/>
                <w:sz w:val="15"/>
              </w:rPr>
              <w:br/>
              <w:t xml:space="preserve">    2.0: {"name": "Phase 2 Efficacy", "median_years": 3.2, "p_success": 0.35},</w:t>
            </w:r>
            <w:r>
              <w:rPr>
                <w:rFonts w:ascii="Consolas" w:hAnsi="Consolas"/>
                <w:color w:val="1E293B"/>
                <w:sz w:val="15"/>
              </w:rPr>
              <w:br/>
              <w:t xml:space="preserve">    3.0: {"name": "Phase 3 Pivotal Trials", "median_years": 3.8, "p_success": 0.58},</w:t>
            </w:r>
            <w:r>
              <w:rPr>
                <w:rFonts w:ascii="Consolas" w:hAnsi="Consolas"/>
                <w:color w:val="1E293B"/>
                <w:sz w:val="15"/>
              </w:rPr>
              <w:br/>
              <w:t xml:space="preserve">    4.0: {"name": "FDA NDA Review / Approval", "median_years": 1.5, "p_success": 0.90},</w:t>
            </w:r>
            <w:r>
              <w:rPr>
                <w:rFonts w:ascii="Consolas" w:hAnsi="Consolas"/>
                <w:color w:val="1E293B"/>
                <w:sz w:val="15"/>
              </w:rPr>
              <w:br/>
              <w:t>}</w:t>
            </w:r>
            <w:r>
              <w:rPr>
                <w:rFonts w:ascii="Consolas" w:hAnsi="Consolas"/>
                <w:color w:val="1E293B"/>
                <w:sz w:val="15"/>
              </w:rPr>
              <w:br/>
            </w:r>
            <w:r>
              <w:rPr>
                <w:rFonts w:ascii="Consolas" w:hAnsi="Consolas"/>
                <w:color w:val="1E293B"/>
                <w:sz w:val="15"/>
              </w:rPr>
              <w:br/>
              <w:t># Cumulative latency and milestone decision years</w:t>
            </w:r>
            <w:r>
              <w:rPr>
                <w:rFonts w:ascii="Consolas" w:hAnsi="Consolas"/>
                <w:color w:val="1E293B"/>
                <w:sz w:val="15"/>
              </w:rPr>
              <w:br/>
              <w:t>cum_years = sum(BENCHMARK_DURATIONS[p]["median_years"] for p in remaining_phases)</w:t>
            </w:r>
            <w:r>
              <w:rPr>
                <w:rFonts w:ascii="Consolas" w:hAnsi="Consolas"/>
                <w:color w:val="1E293B"/>
                <w:sz w:val="15"/>
              </w:rPr>
              <w:br/>
              <w:t>min_year = round(base_year + cum_years * 0.65, 1)</w:t>
            </w:r>
            <w:r>
              <w:rPr>
                <w:rFonts w:ascii="Consolas" w:hAnsi="Consolas"/>
                <w:color w:val="1E293B"/>
                <w:sz w:val="15"/>
              </w:rPr>
              <w:br/>
              <w:t>median_year = round(base_year + cum_years, 1)</w:t>
            </w:r>
            <w:r>
              <w:rPr>
                <w:rFonts w:ascii="Consolas" w:hAnsi="Consolas"/>
                <w:color w:val="1E293B"/>
                <w:sz w:val="15"/>
              </w:rPr>
              <w:br/>
              <w:t>max_year = round(base_year + cum_years * 1.45, 1)</w:t>
            </w:r>
          </w:p>
        </w:tc>
      </w:tr>
    </w:tbl>
    <w:p w14:paraId="0482A8A6" w14:textId="77777777" w:rsidR="002D7F6C" w:rsidRDefault="002D7F6C">
      <w:pPr>
        <w:spacing w:after="80"/>
      </w:pPr>
    </w:p>
    <w:p w14:paraId="238CA765"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outputs/timeline_analysis/experimental_forecast_projections.csv</w:t>
      </w:r>
      <w:r>
        <w:rPr>
          <w:rFonts w:ascii="Segoe UI" w:hAnsi="Segoe UI"/>
          <w:color w:val="1E293B"/>
          <w:sz w:val="18"/>
        </w:rPr>
        <w:t xml:space="preserve">, </w:t>
      </w:r>
      <w:r>
        <w:rPr>
          <w:rFonts w:ascii="Consolas" w:hAnsi="Consolas"/>
          <w:color w:val="0284C7"/>
          <w:sz w:val="16"/>
        </w:rPr>
        <w:t>outputs/timeline_analysis/forecast_pipeline_latencies.png</w:t>
      </w:r>
      <w:r>
        <w:rPr>
          <w:rFonts w:ascii="Segoe UI" w:hAnsi="Segoe UI"/>
          <w:color w:val="1E293B"/>
          <w:sz w:val="18"/>
        </w:rPr>
        <w:t xml:space="preserve">, </w:t>
      </w:r>
      <w:r>
        <w:rPr>
          <w:rFonts w:ascii="Consolas" w:hAnsi="Consolas"/>
          <w:color w:val="0284C7"/>
          <w:sz w:val="16"/>
        </w:rPr>
        <w:t>docs/future_therapeutic_forecast_limitations.md</w:t>
      </w:r>
      <w:r>
        <w:rPr>
          <w:rFonts w:ascii="Segoe UI" w:hAnsi="Segoe UI"/>
          <w:color w:val="1E293B"/>
          <w:sz w:val="18"/>
        </w:rPr>
        <w:t>.</w:t>
      </w:r>
    </w:p>
    <w:p w14:paraId="65FEA548" w14:textId="77777777"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xml:space="preserve">: Generated exploratory development decision milestones spanning median years 2028 to 2041 (with confidence windows spanning 2027 to 2045) across 37 diseases, reconciling exactly with </w:t>
      </w:r>
      <w:r>
        <w:rPr>
          <w:rFonts w:ascii="Consolas" w:hAnsi="Consolas"/>
          <w:color w:val="0284C7"/>
          <w:sz w:val="16"/>
        </w:rPr>
        <w:t>outputs/timeline_analysis/experimental_forecast_projections.csv</w:t>
      </w:r>
      <w:r>
        <w:rPr>
          <w:rFonts w:ascii="Segoe UI" w:hAnsi="Segoe UI"/>
          <w:color w:val="1E293B"/>
          <w:sz w:val="18"/>
        </w:rPr>
        <w:t>. Formally categorized the project's illustrative "2114" horizon as an assumption-based multi-decadal concept rather than an empirical machine learning prediction.</w:t>
      </w:r>
    </w:p>
    <w:p w14:paraId="7517A1F4" w14:textId="77777777" w:rsidR="002D7F6C" w:rsidRDefault="00000000">
      <w:pPr>
        <w:keepNext/>
        <w:spacing w:before="180" w:after="60"/>
      </w:pPr>
      <w:r>
        <w:rPr>
          <w:rFonts w:ascii="Segoe UI" w:hAnsi="Segoe UI"/>
          <w:b/>
          <w:color w:val="0F172A"/>
          <w:sz w:val="20"/>
        </w:rPr>
        <w:lastRenderedPageBreak/>
        <w:t>4.6 Module 6: Model Explainability and Interpretability Analysis</w:t>
      </w:r>
    </w:p>
    <w:p w14:paraId="26AD15F0" w14:textId="77777777" w:rsidR="002D7F6C" w:rsidRDefault="00000000">
      <w:pPr>
        <w:pStyle w:val="ListBullet"/>
        <w:spacing w:before="20" w:after="40"/>
      </w:pPr>
      <w:r>
        <w:rPr>
          <w:rFonts w:ascii="Segoe UI" w:hAnsi="Segoe UI"/>
          <w:b/>
          <w:color w:val="1E293B"/>
          <w:sz w:val="18"/>
        </w:rPr>
        <w:t>Purpose</w:t>
      </w:r>
      <w:r>
        <w:rPr>
          <w:rFonts w:ascii="Segoe UI" w:hAnsi="Segoe UI"/>
          <w:color w:val="1E293B"/>
          <w:sz w:val="18"/>
        </w:rPr>
        <w:t>: Quantify feature importance for symptom diagnosis and decompose candidate score contributions to ensure full transparency.</w:t>
      </w:r>
    </w:p>
    <w:p w14:paraId="592F5B3F" w14:textId="77777777" w:rsidR="002D7F6C" w:rsidRDefault="00000000">
      <w:pPr>
        <w:pStyle w:val="ListBullet"/>
        <w:spacing w:before="20" w:after="40"/>
      </w:pPr>
      <w:r>
        <w:rPr>
          <w:rFonts w:ascii="Segoe UI" w:hAnsi="Segoe UI"/>
          <w:b/>
          <w:color w:val="1E293B"/>
          <w:sz w:val="18"/>
        </w:rPr>
        <w:t>Input Datasets</w:t>
      </w:r>
      <w:r>
        <w:rPr>
          <w:rFonts w:ascii="Segoe UI" w:hAnsi="Segoe UI"/>
          <w:color w:val="1E293B"/>
          <w:sz w:val="18"/>
        </w:rPr>
        <w:t xml:space="preserve">: </w:t>
      </w:r>
      <w:r>
        <w:rPr>
          <w:rFonts w:ascii="Consolas" w:hAnsi="Consolas"/>
          <w:color w:val="0284C7"/>
          <w:sz w:val="16"/>
        </w:rPr>
        <w:t>models/symptom_classifier.joblib</w:t>
      </w:r>
      <w:r>
        <w:rPr>
          <w:rFonts w:ascii="Segoe UI" w:hAnsi="Segoe UI"/>
          <w:color w:val="1E293B"/>
          <w:sz w:val="18"/>
        </w:rPr>
        <w:t xml:space="preserve">, </w:t>
      </w:r>
      <w:r>
        <w:rPr>
          <w:rFonts w:ascii="Consolas" w:hAnsi="Consolas"/>
          <w:color w:val="0284C7"/>
          <w:sz w:val="16"/>
        </w:rPr>
        <w:t>data/processed/symptom_disease_clean.csv</w:t>
      </w:r>
      <w:r>
        <w:rPr>
          <w:rFonts w:ascii="Segoe UI" w:hAnsi="Segoe UI"/>
          <w:color w:val="1E293B"/>
          <w:sz w:val="18"/>
        </w:rPr>
        <w:t xml:space="preserve">, </w:t>
      </w:r>
      <w:r>
        <w:rPr>
          <w:rFonts w:ascii="Consolas" w:hAnsi="Consolas"/>
          <w:color w:val="0284C7"/>
          <w:sz w:val="16"/>
        </w:rPr>
        <w:t>data/processed/therapeutic_candidate_rankings.csv</w:t>
      </w:r>
      <w:r>
        <w:rPr>
          <w:rFonts w:ascii="Segoe UI" w:hAnsi="Segoe UI"/>
          <w:color w:val="1E293B"/>
          <w:sz w:val="18"/>
        </w:rPr>
        <w:t>.</w:t>
      </w:r>
    </w:p>
    <w:p w14:paraId="08CC6F89" w14:textId="77777777" w:rsidR="002D7F6C" w:rsidRDefault="00000000">
      <w:pPr>
        <w:pStyle w:val="ListBullet"/>
        <w:spacing w:before="20" w:after="40"/>
      </w:pPr>
      <w:r>
        <w:rPr>
          <w:rFonts w:ascii="Segoe UI" w:hAnsi="Segoe UI"/>
          <w:b/>
          <w:color w:val="1E293B"/>
          <w:sz w:val="18"/>
        </w:rPr>
        <w:t>Algorithm &amp; Method</w:t>
      </w:r>
      <w:r>
        <w:rPr>
          <w:rFonts w:ascii="Segoe UI" w:hAnsi="Segoe UI"/>
          <w:color w:val="1E293B"/>
          <w:sz w:val="18"/>
        </w:rPr>
        <w:t>:</w:t>
      </w:r>
    </w:p>
    <w:p w14:paraId="25DF809C" w14:textId="4394DD52" w:rsidR="002D7F6C" w:rsidRDefault="00000000" w:rsidP="00A64601">
      <w:pPr>
        <w:pStyle w:val="ListNumber"/>
        <w:numPr>
          <w:ilvl w:val="0"/>
          <w:numId w:val="12"/>
        </w:numPr>
        <w:spacing w:before="20" w:after="40"/>
      </w:pPr>
      <w:r w:rsidRPr="00A64601">
        <w:rPr>
          <w:rFonts w:ascii="Segoe UI" w:hAnsi="Segoe UI"/>
          <w:i/>
          <w:color w:val="1E293B"/>
          <w:sz w:val="18"/>
        </w:rPr>
        <w:t>Permutation Feature Importance</w:t>
      </w:r>
      <w:r w:rsidRPr="00A64601">
        <w:rPr>
          <w:rFonts w:ascii="Segoe UI" w:hAnsi="Segoe UI"/>
          <w:color w:val="1E293B"/>
          <w:sz w:val="18"/>
        </w:rPr>
        <w:t>: Evaluates accuracy degradation when individual binary symptom columns are randomly permuted across 20 iterations on the held-out test set (</w:t>
      </w:r>
      <w:r w:rsidRPr="00A64601">
        <w:rPr>
          <w:rFonts w:ascii="Cambria Math" w:hAnsi="Cambria Math"/>
          <w:i/>
          <w:color w:val="1E293B"/>
          <w:sz w:val="18"/>
        </w:rPr>
        <w:t>N=61</w:t>
      </w:r>
      <w:r w:rsidRPr="00A64601">
        <w:rPr>
          <w:rFonts w:ascii="Segoe UI" w:hAnsi="Segoe UI"/>
          <w:color w:val="1E293B"/>
          <w:sz w:val="18"/>
        </w:rPr>
        <w:t>).</w:t>
      </w:r>
    </w:p>
    <w:p w14:paraId="0A55B019" w14:textId="77777777" w:rsidR="002D7F6C" w:rsidRDefault="00000000">
      <w:pPr>
        <w:pStyle w:val="ListNumber"/>
        <w:spacing w:before="20" w:after="40"/>
      </w:pPr>
      <w:r>
        <w:rPr>
          <w:rFonts w:ascii="Segoe UI" w:hAnsi="Segoe UI"/>
          <w:i/>
          <w:color w:val="1E293B"/>
          <w:sz w:val="18"/>
        </w:rPr>
        <w:t>Score Decomposition</w:t>
      </w:r>
      <w:r>
        <w:rPr>
          <w:rFonts w:ascii="Segoe UI" w:hAnsi="Segoe UI"/>
          <w:color w:val="1E293B"/>
          <w:sz w:val="18"/>
        </w:rPr>
        <w:t>: Computes exact mathematical additive contributions of each dimension (</w:t>
      </w:r>
      <w:r>
        <w:rPr>
          <w:rFonts w:ascii="Cambria Math" w:hAnsi="Cambria Math"/>
          <w:i/>
          <w:color w:val="1E293B"/>
          <w:sz w:val="18"/>
        </w:rPr>
        <w:t>0.35 × S_target, 0.35 × S_potency, 0.15 × S_druglike, 0.15 × S_evidence</w:t>
      </w:r>
      <w:r>
        <w:rPr>
          <w:rFonts w:ascii="Segoe UI" w:hAnsi="Segoe UI"/>
          <w:color w:val="1E293B"/>
          <w:sz w:val="18"/>
        </w:rPr>
        <w:t>) for top candidates.</w:t>
      </w:r>
    </w:p>
    <w:p w14:paraId="1451773E" w14:textId="77777777" w:rsidR="002D7F6C" w:rsidRDefault="00000000">
      <w:pPr>
        <w:pStyle w:val="ListBullet"/>
        <w:spacing w:before="20" w:after="40"/>
      </w:pPr>
      <w:r>
        <w:rPr>
          <w:rFonts w:ascii="Segoe UI" w:hAnsi="Segoe UI"/>
          <w:b/>
          <w:color w:val="1E293B"/>
          <w:sz w:val="18"/>
        </w:rPr>
        <w:t>Implementation File</w:t>
      </w:r>
      <w:r>
        <w:rPr>
          <w:rFonts w:ascii="Segoe UI" w:hAnsi="Segoe UI"/>
          <w:color w:val="1E293B"/>
          <w:sz w:val="18"/>
        </w:rPr>
        <w:t xml:space="preserve">: </w:t>
      </w:r>
      <w:r>
        <w:rPr>
          <w:rFonts w:ascii="Consolas" w:hAnsi="Consolas"/>
          <w:color w:val="0284C7"/>
          <w:sz w:val="16"/>
        </w:rPr>
        <w:t>src/analysis/explain_model.py</w:t>
      </w:r>
      <w:r>
        <w:rPr>
          <w:rFonts w:ascii="Segoe UI" w:hAnsi="Segoe UI"/>
          <w:color w:val="1E293B"/>
          <w:sz w:val="18"/>
        </w:rPr>
        <w:t>.</w:t>
      </w:r>
    </w:p>
    <w:p w14:paraId="145835EE" w14:textId="77777777" w:rsidR="002D7F6C" w:rsidRDefault="00000000">
      <w:pPr>
        <w:pStyle w:val="ListBullet"/>
        <w:spacing w:before="20" w:after="40"/>
      </w:pPr>
      <w:r>
        <w:rPr>
          <w:rFonts w:ascii="Segoe UI" w:hAnsi="Segoe UI"/>
          <w:b/>
          <w:color w:val="1E293B"/>
          <w:sz w:val="18"/>
        </w:rPr>
        <w:t>Execution Command</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EE7585B" w14:textId="77777777">
        <w:trPr>
          <w:jc w:val="center"/>
        </w:trPr>
        <w:tc>
          <w:tcPr>
            <w:tcW w:w="9749" w:type="dxa"/>
            <w:shd w:val="clear" w:color="auto" w:fill="F8FAFC"/>
            <w:tcMar>
              <w:top w:w="90" w:type="dxa"/>
              <w:left w:w="130" w:type="dxa"/>
              <w:bottom w:w="90" w:type="dxa"/>
              <w:right w:w="130" w:type="dxa"/>
            </w:tcMar>
          </w:tcPr>
          <w:p w14:paraId="1719ABFA" w14:textId="77777777" w:rsidR="002D7F6C" w:rsidRDefault="00000000">
            <w:pPr>
              <w:spacing w:after="0"/>
            </w:pPr>
            <w:r>
              <w:rPr>
                <w:rFonts w:ascii="Consolas" w:hAnsi="Consolas"/>
                <w:color w:val="1E293B"/>
                <w:sz w:val="15"/>
              </w:rPr>
              <w:t>python src/analysis/explain_model.py</w:t>
            </w:r>
          </w:p>
        </w:tc>
      </w:tr>
    </w:tbl>
    <w:p w14:paraId="1C35804A" w14:textId="77777777" w:rsidR="002D7F6C" w:rsidRDefault="002D7F6C">
      <w:pPr>
        <w:spacing w:after="80"/>
      </w:pPr>
    </w:p>
    <w:p w14:paraId="4B875992" w14:textId="77777777" w:rsidR="002D7F6C" w:rsidRDefault="00000000">
      <w:pPr>
        <w:pStyle w:val="ListBullet"/>
        <w:spacing w:before="20" w:after="40"/>
      </w:pPr>
      <w:r>
        <w:rPr>
          <w:rFonts w:ascii="Segoe UI" w:hAnsi="Segoe UI"/>
          <w:b/>
          <w:color w:val="1E293B"/>
          <w:sz w:val="18"/>
        </w:rPr>
        <w:t>Code Excerpt</w:t>
      </w:r>
      <w:r>
        <w:rPr>
          <w:rFonts w:ascii="Segoe UI" w:hAnsi="Segoe UI"/>
          <w:color w:val="1E293B"/>
          <w:sz w:val="18"/>
        </w:rPr>
        <w:t>:</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3D6DD2EA" w14:textId="77777777">
        <w:trPr>
          <w:jc w:val="center"/>
        </w:trPr>
        <w:tc>
          <w:tcPr>
            <w:tcW w:w="9749" w:type="dxa"/>
            <w:shd w:val="clear" w:color="auto" w:fill="F8FAFC"/>
            <w:tcMar>
              <w:top w:w="90" w:type="dxa"/>
              <w:left w:w="130" w:type="dxa"/>
              <w:bottom w:w="90" w:type="dxa"/>
              <w:right w:w="130" w:type="dxa"/>
            </w:tcMar>
          </w:tcPr>
          <w:p w14:paraId="228402D8" w14:textId="77777777" w:rsidR="002D7F6C" w:rsidRDefault="00000000">
            <w:pPr>
              <w:spacing w:after="0"/>
            </w:pPr>
            <w:r>
              <w:rPr>
                <w:rFonts w:ascii="Consolas" w:hAnsi="Consolas"/>
                <w:color w:val="1E293B"/>
                <w:sz w:val="15"/>
              </w:rPr>
              <w:t># Permutation feature importance on held-out test partition (N=61, 20 repeats)</w:t>
            </w:r>
            <w:r>
              <w:rPr>
                <w:rFonts w:ascii="Consolas" w:hAnsi="Consolas"/>
                <w:color w:val="1E293B"/>
                <w:sz w:val="15"/>
              </w:rPr>
              <w:br/>
              <w:t>perm_res = permutation_importance(</w:t>
            </w:r>
            <w:r>
              <w:rPr>
                <w:rFonts w:ascii="Consolas" w:hAnsi="Consolas"/>
                <w:color w:val="1E293B"/>
                <w:sz w:val="15"/>
              </w:rPr>
              <w:br/>
              <w:t xml:space="preserve">    model, X_test, y_test, n_repeats=20, random_state=42, scoring="accuracy"</w:t>
            </w:r>
            <w:r>
              <w:rPr>
                <w:rFonts w:ascii="Consolas" w:hAnsi="Consolas"/>
                <w:color w:val="1E293B"/>
                <w:sz w:val="15"/>
              </w:rPr>
              <w:br/>
              <w:t>)</w:t>
            </w:r>
            <w:r>
              <w:rPr>
                <w:rFonts w:ascii="Consolas" w:hAnsi="Consolas"/>
                <w:color w:val="1E293B"/>
                <w:sz w:val="15"/>
              </w:rPr>
              <w:br/>
            </w:r>
            <w:r>
              <w:rPr>
                <w:rFonts w:ascii="Consolas" w:hAnsi="Consolas"/>
                <w:color w:val="1E293B"/>
                <w:sz w:val="15"/>
              </w:rPr>
              <w:br/>
              <w:t>importances_df = pd.DataFrame({</w:t>
            </w:r>
            <w:r>
              <w:rPr>
                <w:rFonts w:ascii="Consolas" w:hAnsi="Consolas"/>
                <w:color w:val="1E293B"/>
                <w:sz w:val="15"/>
              </w:rPr>
              <w:br/>
              <w:t xml:space="preserve">    "symptom_feature": feature_cols,</w:t>
            </w:r>
            <w:r>
              <w:rPr>
                <w:rFonts w:ascii="Consolas" w:hAnsi="Consolas"/>
                <w:color w:val="1E293B"/>
                <w:sz w:val="15"/>
              </w:rPr>
              <w:br/>
              <w:t xml:space="preserve">    "mean_importance": perm_res.importances_mean,</w:t>
            </w:r>
            <w:r>
              <w:rPr>
                <w:rFonts w:ascii="Consolas" w:hAnsi="Consolas"/>
                <w:color w:val="1E293B"/>
                <w:sz w:val="15"/>
              </w:rPr>
              <w:br/>
              <w:t xml:space="preserve">    "std_importance": perm_res.importances_std,</w:t>
            </w:r>
            <w:r>
              <w:rPr>
                <w:rFonts w:ascii="Consolas" w:hAnsi="Consolas"/>
                <w:color w:val="1E293B"/>
                <w:sz w:val="15"/>
              </w:rPr>
              <w:br/>
              <w:t>}).sort_values(by="mean_importance", ascending=False)</w:t>
            </w:r>
          </w:p>
        </w:tc>
      </w:tr>
    </w:tbl>
    <w:p w14:paraId="3941288F" w14:textId="77777777" w:rsidR="002D7F6C" w:rsidRDefault="002D7F6C">
      <w:pPr>
        <w:spacing w:after="80"/>
      </w:pPr>
    </w:p>
    <w:p w14:paraId="13BDCFB7" w14:textId="77777777" w:rsidR="002D7F6C" w:rsidRDefault="00000000">
      <w:pPr>
        <w:pStyle w:val="ListBullet"/>
        <w:spacing w:before="20" w:after="40"/>
      </w:pPr>
      <w:r>
        <w:rPr>
          <w:rFonts w:ascii="Segoe UI" w:hAnsi="Segoe UI"/>
          <w:b/>
          <w:color w:val="1E293B"/>
          <w:sz w:val="18"/>
        </w:rPr>
        <w:t>Generated Artifacts</w:t>
      </w:r>
      <w:r>
        <w:rPr>
          <w:rFonts w:ascii="Segoe UI" w:hAnsi="Segoe UI"/>
          <w:color w:val="1E293B"/>
          <w:sz w:val="18"/>
        </w:rPr>
        <w:t xml:space="preserve">: </w:t>
      </w:r>
      <w:r>
        <w:rPr>
          <w:rFonts w:ascii="Consolas" w:hAnsi="Consolas"/>
          <w:color w:val="0284C7"/>
          <w:sz w:val="16"/>
        </w:rPr>
        <w:t>outputs/explainability/symptom_permutation_importance.csv</w:t>
      </w:r>
      <w:r>
        <w:rPr>
          <w:rFonts w:ascii="Segoe UI" w:hAnsi="Segoe UI"/>
          <w:color w:val="1E293B"/>
          <w:sz w:val="18"/>
        </w:rPr>
        <w:t xml:space="preserve">, </w:t>
      </w:r>
      <w:r>
        <w:rPr>
          <w:rFonts w:ascii="Consolas" w:hAnsi="Consolas"/>
          <w:color w:val="0284C7"/>
          <w:sz w:val="16"/>
        </w:rPr>
        <w:t>outputs/explainability/top_symptoms_importance.png</w:t>
      </w:r>
      <w:r>
        <w:rPr>
          <w:rFonts w:ascii="Segoe UI" w:hAnsi="Segoe UI"/>
          <w:color w:val="1E293B"/>
          <w:sz w:val="18"/>
        </w:rPr>
        <w:t xml:space="preserve">, </w:t>
      </w:r>
      <w:r>
        <w:rPr>
          <w:rFonts w:ascii="Consolas" w:hAnsi="Consolas"/>
          <w:color w:val="0284C7"/>
          <w:sz w:val="16"/>
        </w:rPr>
        <w:t>outputs/explainability/candidate_score_decomposition.csv</w:t>
      </w:r>
      <w:r>
        <w:rPr>
          <w:rFonts w:ascii="Segoe UI" w:hAnsi="Segoe UI"/>
          <w:color w:val="1E293B"/>
          <w:sz w:val="18"/>
        </w:rPr>
        <w:t xml:space="preserve">, </w:t>
      </w:r>
      <w:r>
        <w:rPr>
          <w:rFonts w:ascii="Consolas" w:hAnsi="Consolas"/>
          <w:color w:val="0284C7"/>
          <w:sz w:val="16"/>
        </w:rPr>
        <w:t>outputs/explainability/candidate_contribution_breakdown.png</w:t>
      </w:r>
      <w:r>
        <w:rPr>
          <w:rFonts w:ascii="Segoe UI" w:hAnsi="Segoe UI"/>
          <w:color w:val="1E293B"/>
          <w:sz w:val="18"/>
        </w:rPr>
        <w:t>.</w:t>
      </w:r>
    </w:p>
    <w:p w14:paraId="73D66A2E" w14:textId="77777777" w:rsidR="002D7F6C" w:rsidRDefault="00000000">
      <w:pPr>
        <w:pStyle w:val="ListBullet"/>
        <w:spacing w:before="20" w:after="40"/>
      </w:pPr>
      <w:r>
        <w:rPr>
          <w:rFonts w:ascii="Segoe UI" w:hAnsi="Segoe UI"/>
          <w:b/>
          <w:color w:val="1E293B"/>
          <w:sz w:val="18"/>
        </w:rPr>
        <w:t>Result Explanation</w:t>
      </w:r>
      <w:r>
        <w:rPr>
          <w:rFonts w:ascii="Segoe UI" w:hAnsi="Segoe UI"/>
          <w:color w:val="1E293B"/>
          <w:sz w:val="18"/>
        </w:rPr>
        <w:t xml:space="preserve">: Top influential features identified include </w:t>
      </w:r>
      <w:r>
        <w:rPr>
          <w:rFonts w:ascii="Consolas" w:hAnsi="Consolas"/>
          <w:color w:val="0284C7"/>
          <w:sz w:val="16"/>
        </w:rPr>
        <w:t>vomiting</w:t>
      </w:r>
      <w:r>
        <w:rPr>
          <w:rFonts w:ascii="Segoe UI" w:hAnsi="Segoe UI"/>
          <w:color w:val="1E293B"/>
          <w:sz w:val="18"/>
        </w:rPr>
        <w:t xml:space="preserve">, </w:t>
      </w:r>
      <w:r>
        <w:rPr>
          <w:rFonts w:ascii="Consolas" w:hAnsi="Consolas"/>
          <w:color w:val="0284C7"/>
          <w:sz w:val="16"/>
        </w:rPr>
        <w:t>joint_pain</w:t>
      </w:r>
      <w:r>
        <w:rPr>
          <w:rFonts w:ascii="Segoe UI" w:hAnsi="Segoe UI"/>
          <w:color w:val="1E293B"/>
          <w:sz w:val="18"/>
        </w:rPr>
        <w:t xml:space="preserve">, </w:t>
      </w:r>
      <w:r>
        <w:rPr>
          <w:rFonts w:ascii="Consolas" w:hAnsi="Consolas"/>
          <w:color w:val="0284C7"/>
          <w:sz w:val="16"/>
        </w:rPr>
        <w:t>itching</w:t>
      </w:r>
      <w:r>
        <w:rPr>
          <w:rFonts w:ascii="Segoe UI" w:hAnsi="Segoe UI"/>
          <w:color w:val="1E293B"/>
          <w:sz w:val="18"/>
        </w:rPr>
        <w:t xml:space="preserve">, and </w:t>
      </w:r>
      <w:r>
        <w:rPr>
          <w:rFonts w:ascii="Consolas" w:hAnsi="Consolas"/>
          <w:color w:val="0284C7"/>
          <w:sz w:val="16"/>
        </w:rPr>
        <w:t>skin_rash</w:t>
      </w:r>
      <w:r>
        <w:rPr>
          <w:rFonts w:ascii="Segoe UI" w:hAnsi="Segoe UI"/>
          <w:color w:val="1E293B"/>
          <w:sz w:val="18"/>
        </w:rPr>
        <w:t>. Permutation degradation is bounded (</w:t>
      </w:r>
      <w:r>
        <w:rPr>
          <w:rFonts w:ascii="Cambria Math" w:hAnsi="Cambria Math"/>
          <w:i/>
          <w:color w:val="1E293B"/>
          <w:sz w:val="18"/>
        </w:rPr>
        <w:t>&lt; 0.005</w:t>
      </w:r>
      <w:r>
        <w:rPr>
          <w:rFonts w:ascii="Segoe UI" w:hAnsi="Segoe UI"/>
          <w:color w:val="1E293B"/>
          <w:sz w:val="18"/>
        </w:rPr>
        <w:t>) due to redundant linear separability across 132 binary features.</w:t>
      </w:r>
    </w:p>
    <w:p w14:paraId="03B46A97" w14:textId="77777777" w:rsidR="002D7F6C" w:rsidRDefault="00000000">
      <w:pPr>
        <w:keepNext/>
        <w:spacing w:before="180" w:after="60"/>
      </w:pPr>
      <w:r>
        <w:rPr>
          <w:rFonts w:ascii="Segoe UI" w:hAnsi="Segoe UI"/>
          <w:b/>
          <w:color w:val="0F172A"/>
          <w:sz w:val="20"/>
        </w:rPr>
        <w:t>4.7 Pipeline Orchestration and Automated Quality Assurance</w:t>
      </w:r>
    </w:p>
    <w:p w14:paraId="3B69CA58" w14:textId="77777777" w:rsidR="002D7F6C" w:rsidRDefault="00000000">
      <w:pPr>
        <w:spacing w:after="80"/>
      </w:pPr>
      <w:r>
        <w:rPr>
          <w:rFonts w:ascii="Segoe UI" w:hAnsi="Segoe UI"/>
          <w:color w:val="1E293B"/>
          <w:sz w:val="18"/>
        </w:rPr>
        <w:t xml:space="preserve">The six modules are orchestrated into an automated, error-free workflow via </w:t>
      </w:r>
      <w:r>
        <w:rPr>
          <w:rFonts w:ascii="Consolas" w:hAnsi="Consolas"/>
          <w:color w:val="0284C7"/>
          <w:sz w:val="16"/>
        </w:rPr>
        <w:t>src/run_theralens.py</w:t>
      </w:r>
      <w:r>
        <w:rPr>
          <w:rFonts w:ascii="Segoe UI" w:hAnsi="Segoe UI"/>
          <w:color w:val="1E293B"/>
          <w:sz w:val="18"/>
        </w:rPr>
        <w:t>, which executes all scripts in dependency order, monitors execution timing, and saves a master execution summary.</w:t>
      </w:r>
    </w:p>
    <w:p w14:paraId="6484613E" w14:textId="77777777" w:rsidR="002D7F6C" w:rsidRDefault="00000000">
      <w:pPr>
        <w:spacing w:after="80"/>
      </w:pPr>
      <w:r>
        <w:rPr>
          <w:rFonts w:ascii="Segoe UI" w:hAnsi="Segoe UI"/>
          <w:color w:val="1E293B"/>
          <w:sz w:val="18"/>
        </w:rPr>
        <w:t>For the complete pipeline:</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30DB2D1" w14:textId="77777777">
        <w:trPr>
          <w:jc w:val="center"/>
        </w:trPr>
        <w:tc>
          <w:tcPr>
            <w:tcW w:w="9749" w:type="dxa"/>
            <w:shd w:val="clear" w:color="auto" w:fill="F8FAFC"/>
            <w:tcMar>
              <w:top w:w="90" w:type="dxa"/>
              <w:left w:w="130" w:type="dxa"/>
              <w:bottom w:w="90" w:type="dxa"/>
              <w:right w:w="130" w:type="dxa"/>
            </w:tcMar>
          </w:tcPr>
          <w:p w14:paraId="4593681B" w14:textId="77777777" w:rsidR="002D7F6C" w:rsidRDefault="00000000">
            <w:pPr>
              <w:spacing w:after="0"/>
            </w:pPr>
            <w:r>
              <w:rPr>
                <w:rFonts w:ascii="Consolas" w:hAnsi="Consolas"/>
                <w:color w:val="1E293B"/>
                <w:sz w:val="15"/>
              </w:rPr>
              <w:t>python src/run_theralens.py</w:t>
            </w:r>
          </w:p>
        </w:tc>
      </w:tr>
    </w:tbl>
    <w:p w14:paraId="7F91E20D" w14:textId="77777777" w:rsidR="002D7F6C" w:rsidRDefault="002D7F6C">
      <w:pPr>
        <w:spacing w:after="80"/>
      </w:pPr>
    </w:p>
    <w:p w14:paraId="1A99FCAB" w14:textId="77777777" w:rsidR="002D7F6C" w:rsidRDefault="00000000">
      <w:pPr>
        <w:spacing w:after="80"/>
      </w:pPr>
      <w:r>
        <w:rPr>
          <w:rFonts w:ascii="Segoe UI" w:hAnsi="Segoe UI"/>
          <w:color w:val="1E293B"/>
          <w:sz w:val="18"/>
        </w:rPr>
        <w:t>For automated testing:</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407CA96C" w14:textId="77777777">
        <w:trPr>
          <w:jc w:val="center"/>
        </w:trPr>
        <w:tc>
          <w:tcPr>
            <w:tcW w:w="9749" w:type="dxa"/>
            <w:shd w:val="clear" w:color="auto" w:fill="F8FAFC"/>
            <w:tcMar>
              <w:top w:w="90" w:type="dxa"/>
              <w:left w:w="130" w:type="dxa"/>
              <w:bottom w:w="90" w:type="dxa"/>
              <w:right w:w="130" w:type="dxa"/>
            </w:tcMar>
          </w:tcPr>
          <w:p w14:paraId="207EEDFC" w14:textId="77777777" w:rsidR="002D7F6C" w:rsidRDefault="00000000">
            <w:pPr>
              <w:spacing w:after="0"/>
            </w:pPr>
            <w:r>
              <w:rPr>
                <w:rFonts w:ascii="Consolas" w:hAnsi="Consolas"/>
                <w:color w:val="1E293B"/>
                <w:sz w:val="15"/>
              </w:rPr>
              <w:t>python -m pytest tests/ -v</w:t>
            </w:r>
          </w:p>
        </w:tc>
      </w:tr>
    </w:tbl>
    <w:p w14:paraId="097C7C04" w14:textId="77777777" w:rsidR="002D7F6C" w:rsidRDefault="002D7F6C">
      <w:pPr>
        <w:spacing w:after="80"/>
      </w:pPr>
    </w:p>
    <w:p w14:paraId="07AE4886" w14:textId="77777777" w:rsidR="002D7F6C" w:rsidRDefault="00000000">
      <w:pPr>
        <w:spacing w:after="80"/>
      </w:pPr>
      <w:r>
        <w:rPr>
          <w:rFonts w:ascii="Segoe UI" w:hAnsi="Segoe UI"/>
          <w:color w:val="1E293B"/>
          <w:sz w:val="18"/>
        </w:rPr>
        <w:t>The automated test suite (</w:t>
      </w:r>
      <w:r>
        <w:rPr>
          <w:rFonts w:ascii="Consolas" w:hAnsi="Consolas"/>
          <w:color w:val="0284C7"/>
          <w:sz w:val="16"/>
        </w:rPr>
        <w:t>tests/</w:t>
      </w:r>
      <w:r>
        <w:rPr>
          <w:rFonts w:ascii="Segoe UI" w:hAnsi="Segoe UI"/>
          <w:color w:val="1E293B"/>
          <w:sz w:val="18"/>
        </w:rPr>
        <w:t xml:space="preserve">) validates schema shapes, deduplication integrity, data leakage absence, candidate ranking bounds, and timeline join consistency across 15 unit and integration tests. All 15 tests pass with a </w:t>
      </w:r>
      <w:r>
        <w:rPr>
          <w:rFonts w:ascii="Segoe UI" w:hAnsi="Segoe UI"/>
          <w:b/>
          <w:color w:val="1E293B"/>
          <w:sz w:val="18"/>
        </w:rPr>
        <w:t>100% pass rate</w:t>
      </w:r>
      <w:r>
        <w:rPr>
          <w:rFonts w:ascii="Segoe UI" w:hAnsi="Segoe UI"/>
          <w:color w:val="1E293B"/>
          <w:sz w:val="18"/>
        </w:rPr>
        <w:t xml:space="preserve"> in approximately 8.6 seconds. While the test suite confirms execution reproducibility, data pipeline integrity, and code regression prevention, unit and integration tests do not establish biological validity or clinical efficacy.</w:t>
      </w:r>
    </w:p>
    <w:p w14:paraId="4420F075" w14:textId="77777777" w:rsidR="002D7F6C" w:rsidRDefault="00000000">
      <w:r>
        <w:br w:type="page"/>
      </w:r>
    </w:p>
    <w:p w14:paraId="3EB57FB0" w14:textId="77777777" w:rsidR="002D7F6C" w:rsidRDefault="00000000">
      <w:pPr>
        <w:keepNext/>
        <w:spacing w:before="260" w:after="80"/>
      </w:pPr>
      <w:r>
        <w:rPr>
          <w:rFonts w:ascii="Segoe UI" w:hAnsi="Segoe UI"/>
          <w:b/>
          <w:color w:val="0F172A"/>
          <w:sz w:val="24"/>
        </w:rPr>
        <w:lastRenderedPageBreak/>
        <w:t>5. Partial Results and Scientific Discussion</w:t>
      </w:r>
    </w:p>
    <w:p w14:paraId="53F04BD8" w14:textId="77777777" w:rsidR="002D7F6C" w:rsidRDefault="00000000">
      <w:pPr>
        <w:keepNext/>
        <w:spacing w:before="180" w:after="60"/>
      </w:pPr>
      <w:r>
        <w:rPr>
          <w:rFonts w:ascii="Segoe UI" w:hAnsi="Segoe UI"/>
          <w:b/>
          <w:color w:val="0F172A"/>
          <w:sz w:val="20"/>
        </w:rPr>
        <w:t>5.1 Symptom Classifier Benchmark Performance &amp; Clinical Generalizability Limitations</w:t>
      </w:r>
    </w:p>
    <w:p w14:paraId="449A6D31" w14:textId="77777777" w:rsidR="002D7F6C" w:rsidRDefault="00000000">
      <w:pPr>
        <w:spacing w:after="80"/>
      </w:pPr>
      <w:r>
        <w:rPr>
          <w:rFonts w:ascii="Segoe UI" w:hAnsi="Segoe UI"/>
          <w:color w:val="1E293B"/>
          <w:sz w:val="18"/>
        </w:rPr>
        <w:t>Evaluated on the held-out test partition (</w:t>
      </w:r>
      <w:r>
        <w:rPr>
          <w:rFonts w:ascii="Cambria Math" w:hAnsi="Cambria Math"/>
          <w:i/>
          <w:color w:val="1E293B"/>
          <w:sz w:val="18"/>
        </w:rPr>
        <w:t>N=61</w:t>
      </w:r>
      <w:r>
        <w:rPr>
          <w:rFonts w:ascii="Segoe UI" w:hAnsi="Segoe UI"/>
          <w:color w:val="1E293B"/>
          <w:sz w:val="18"/>
        </w:rPr>
        <w:t xml:space="preserve"> unique clinical patterns across 41 classes sampled via stratified split from the deduplicated 304-pattern dataset; this partition originates from the same benchmark repository and does not represent an external clinical hospital validation cohort):</w:t>
      </w:r>
    </w:p>
    <w:p w14:paraId="735BD4D4" w14:textId="77777777" w:rsidR="002D7F6C" w:rsidRDefault="00000000">
      <w:pPr>
        <w:keepNext/>
        <w:spacing w:before="120" w:after="40"/>
      </w:pPr>
      <w:r>
        <w:rPr>
          <w:rFonts w:ascii="Segoe UI" w:hAnsi="Segoe UI"/>
          <w:b/>
          <w:color w:val="334155"/>
          <w:sz w:val="18"/>
        </w:rPr>
        <w:t>Table 5.1: Comparative Classifier Performance on Held-Out Test Set ($N=61$)</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393"/>
        <w:gridCol w:w="1393"/>
        <w:gridCol w:w="1393"/>
        <w:gridCol w:w="1393"/>
        <w:gridCol w:w="1393"/>
        <w:gridCol w:w="1393"/>
        <w:gridCol w:w="1393"/>
      </w:tblGrid>
      <w:tr w:rsidR="002D7F6C" w14:paraId="244A0A53" w14:textId="77777777">
        <w:trPr>
          <w:jc w:val="center"/>
        </w:trPr>
        <w:tc>
          <w:tcPr>
            <w:tcW w:w="1393" w:type="dxa"/>
            <w:shd w:val="clear" w:color="auto" w:fill="F1F5F9"/>
            <w:tcMar>
              <w:top w:w="60" w:type="dxa"/>
              <w:left w:w="80" w:type="dxa"/>
              <w:bottom w:w="60" w:type="dxa"/>
              <w:right w:w="80" w:type="dxa"/>
            </w:tcMar>
          </w:tcPr>
          <w:p w14:paraId="2500B5AA" w14:textId="77777777" w:rsidR="002D7F6C" w:rsidRDefault="00000000">
            <w:pPr>
              <w:spacing w:after="0" w:line="264" w:lineRule="auto"/>
            </w:pPr>
            <w:r>
              <w:rPr>
                <w:rFonts w:ascii="Segoe UI" w:hAnsi="Segoe UI"/>
                <w:b/>
                <w:color w:val="0F172A"/>
                <w:sz w:val="15"/>
              </w:rPr>
              <w:t>Model Architecture</w:t>
            </w:r>
          </w:p>
        </w:tc>
        <w:tc>
          <w:tcPr>
            <w:tcW w:w="1393" w:type="dxa"/>
            <w:shd w:val="clear" w:color="auto" w:fill="F1F5F9"/>
            <w:tcMar>
              <w:top w:w="60" w:type="dxa"/>
              <w:left w:w="80" w:type="dxa"/>
              <w:bottom w:w="60" w:type="dxa"/>
              <w:right w:w="80" w:type="dxa"/>
            </w:tcMar>
          </w:tcPr>
          <w:p w14:paraId="2745FCEC" w14:textId="77777777" w:rsidR="002D7F6C" w:rsidRDefault="00000000">
            <w:pPr>
              <w:spacing w:after="0" w:line="264" w:lineRule="auto"/>
            </w:pPr>
            <w:r>
              <w:rPr>
                <w:rFonts w:ascii="Segoe UI" w:hAnsi="Segoe UI"/>
                <w:b/>
                <w:color w:val="0F172A"/>
                <w:sz w:val="15"/>
              </w:rPr>
              <w:t>Test Accuracy</w:t>
            </w:r>
          </w:p>
        </w:tc>
        <w:tc>
          <w:tcPr>
            <w:tcW w:w="1393" w:type="dxa"/>
            <w:shd w:val="clear" w:color="auto" w:fill="F1F5F9"/>
            <w:tcMar>
              <w:top w:w="60" w:type="dxa"/>
              <w:left w:w="80" w:type="dxa"/>
              <w:bottom w:w="60" w:type="dxa"/>
              <w:right w:w="80" w:type="dxa"/>
            </w:tcMar>
          </w:tcPr>
          <w:p w14:paraId="4304AC1F" w14:textId="77777777" w:rsidR="002D7F6C" w:rsidRDefault="00000000">
            <w:pPr>
              <w:spacing w:after="0" w:line="264" w:lineRule="auto"/>
            </w:pPr>
            <w:r>
              <w:rPr>
                <w:rFonts w:ascii="Segoe UI" w:hAnsi="Segoe UI"/>
                <w:b/>
                <w:color w:val="0F172A"/>
                <w:sz w:val="15"/>
              </w:rPr>
              <w:t>Balanced Accuracy</w:t>
            </w:r>
          </w:p>
        </w:tc>
        <w:tc>
          <w:tcPr>
            <w:tcW w:w="1393" w:type="dxa"/>
            <w:shd w:val="clear" w:color="auto" w:fill="F1F5F9"/>
            <w:tcMar>
              <w:top w:w="60" w:type="dxa"/>
              <w:left w:w="80" w:type="dxa"/>
              <w:bottom w:w="60" w:type="dxa"/>
              <w:right w:w="80" w:type="dxa"/>
            </w:tcMar>
          </w:tcPr>
          <w:p w14:paraId="254BF88E" w14:textId="77777777" w:rsidR="002D7F6C" w:rsidRDefault="00000000">
            <w:pPr>
              <w:spacing w:after="0" w:line="264" w:lineRule="auto"/>
            </w:pPr>
            <w:r>
              <w:rPr>
                <w:rFonts w:ascii="Segoe UI" w:hAnsi="Segoe UI"/>
                <w:b/>
                <w:color w:val="0F172A"/>
                <w:sz w:val="15"/>
              </w:rPr>
              <w:t>Macro Precision</w:t>
            </w:r>
          </w:p>
        </w:tc>
        <w:tc>
          <w:tcPr>
            <w:tcW w:w="1393" w:type="dxa"/>
            <w:shd w:val="clear" w:color="auto" w:fill="F1F5F9"/>
            <w:tcMar>
              <w:top w:w="60" w:type="dxa"/>
              <w:left w:w="80" w:type="dxa"/>
              <w:bottom w:w="60" w:type="dxa"/>
              <w:right w:w="80" w:type="dxa"/>
            </w:tcMar>
          </w:tcPr>
          <w:p w14:paraId="6E8B2A83" w14:textId="77777777" w:rsidR="002D7F6C" w:rsidRDefault="00000000">
            <w:pPr>
              <w:spacing w:after="0" w:line="264" w:lineRule="auto"/>
            </w:pPr>
            <w:r>
              <w:rPr>
                <w:rFonts w:ascii="Segoe UI" w:hAnsi="Segoe UI"/>
                <w:b/>
                <w:color w:val="0F172A"/>
                <w:sz w:val="15"/>
              </w:rPr>
              <w:t>Macro Recall</w:t>
            </w:r>
          </w:p>
        </w:tc>
        <w:tc>
          <w:tcPr>
            <w:tcW w:w="1393" w:type="dxa"/>
            <w:shd w:val="clear" w:color="auto" w:fill="F1F5F9"/>
            <w:tcMar>
              <w:top w:w="60" w:type="dxa"/>
              <w:left w:w="80" w:type="dxa"/>
              <w:bottom w:w="60" w:type="dxa"/>
              <w:right w:w="80" w:type="dxa"/>
            </w:tcMar>
          </w:tcPr>
          <w:p w14:paraId="6BEAD601" w14:textId="77777777" w:rsidR="002D7F6C" w:rsidRDefault="00000000">
            <w:pPr>
              <w:spacing w:after="0" w:line="264" w:lineRule="auto"/>
            </w:pPr>
            <w:r>
              <w:rPr>
                <w:rFonts w:ascii="Segoe UI" w:hAnsi="Segoe UI"/>
                <w:b/>
                <w:color w:val="0F172A"/>
                <w:sz w:val="15"/>
              </w:rPr>
              <w:t>Macro F1-Score</w:t>
            </w:r>
          </w:p>
        </w:tc>
        <w:tc>
          <w:tcPr>
            <w:tcW w:w="1393" w:type="dxa"/>
            <w:shd w:val="clear" w:color="auto" w:fill="F1F5F9"/>
            <w:tcMar>
              <w:top w:w="60" w:type="dxa"/>
              <w:left w:w="80" w:type="dxa"/>
              <w:bottom w:w="60" w:type="dxa"/>
              <w:right w:w="80" w:type="dxa"/>
            </w:tcMar>
          </w:tcPr>
          <w:p w14:paraId="2B20CC4A" w14:textId="77777777" w:rsidR="002D7F6C" w:rsidRDefault="00000000">
            <w:pPr>
              <w:spacing w:after="0" w:line="264" w:lineRule="auto"/>
            </w:pPr>
            <w:r>
              <w:rPr>
                <w:rFonts w:ascii="Segoe UI" w:hAnsi="Segoe UI"/>
                <w:b/>
                <w:color w:val="0F172A"/>
                <w:sz w:val="15"/>
              </w:rPr>
              <w:t>Weighted F1</w:t>
            </w:r>
          </w:p>
        </w:tc>
      </w:tr>
      <w:tr w:rsidR="002D7F6C" w14:paraId="030D233F" w14:textId="77777777">
        <w:trPr>
          <w:jc w:val="center"/>
        </w:trPr>
        <w:tc>
          <w:tcPr>
            <w:tcW w:w="1393" w:type="dxa"/>
            <w:shd w:val="clear" w:color="auto" w:fill="F8FAFC"/>
            <w:tcMar>
              <w:top w:w="60" w:type="dxa"/>
              <w:left w:w="80" w:type="dxa"/>
              <w:bottom w:w="60" w:type="dxa"/>
              <w:right w:w="80" w:type="dxa"/>
            </w:tcMar>
          </w:tcPr>
          <w:p w14:paraId="477AEB04" w14:textId="77777777" w:rsidR="002D7F6C" w:rsidRDefault="00000000">
            <w:pPr>
              <w:spacing w:after="0" w:line="264" w:lineRule="auto"/>
            </w:pPr>
            <w:r>
              <w:rPr>
                <w:rFonts w:ascii="Segoe UI" w:hAnsi="Segoe UI"/>
                <w:b/>
                <w:color w:val="1E293B"/>
                <w:sz w:val="14"/>
              </w:rPr>
              <w:t>Logistic Regression (Selected)</w:t>
            </w:r>
          </w:p>
        </w:tc>
        <w:tc>
          <w:tcPr>
            <w:tcW w:w="1393" w:type="dxa"/>
            <w:shd w:val="clear" w:color="auto" w:fill="F8FAFC"/>
            <w:tcMar>
              <w:top w:w="60" w:type="dxa"/>
              <w:left w:w="80" w:type="dxa"/>
              <w:bottom w:w="60" w:type="dxa"/>
              <w:right w:w="80" w:type="dxa"/>
            </w:tcMar>
          </w:tcPr>
          <w:p w14:paraId="5196E2A0" w14:textId="77777777" w:rsidR="002D7F6C" w:rsidRDefault="00000000">
            <w:pPr>
              <w:spacing w:after="0" w:line="264" w:lineRule="auto"/>
            </w:pPr>
            <w:r>
              <w:rPr>
                <w:rFonts w:ascii="Segoe UI" w:hAnsi="Segoe UI"/>
                <w:b/>
                <w:color w:val="1E293B"/>
                <w:sz w:val="14"/>
              </w:rPr>
              <w:t>1.0000</w:t>
            </w:r>
          </w:p>
        </w:tc>
        <w:tc>
          <w:tcPr>
            <w:tcW w:w="1393" w:type="dxa"/>
            <w:shd w:val="clear" w:color="auto" w:fill="F8FAFC"/>
            <w:tcMar>
              <w:top w:w="60" w:type="dxa"/>
              <w:left w:w="80" w:type="dxa"/>
              <w:bottom w:w="60" w:type="dxa"/>
              <w:right w:w="80" w:type="dxa"/>
            </w:tcMar>
          </w:tcPr>
          <w:p w14:paraId="2480FCBA" w14:textId="77777777" w:rsidR="002D7F6C" w:rsidRDefault="00000000">
            <w:pPr>
              <w:spacing w:after="0" w:line="264" w:lineRule="auto"/>
            </w:pPr>
            <w:r>
              <w:rPr>
                <w:rFonts w:ascii="Segoe UI" w:hAnsi="Segoe UI"/>
                <w:b/>
                <w:color w:val="1E293B"/>
                <w:sz w:val="14"/>
              </w:rPr>
              <w:t>1.0000</w:t>
            </w:r>
          </w:p>
        </w:tc>
        <w:tc>
          <w:tcPr>
            <w:tcW w:w="1393" w:type="dxa"/>
            <w:shd w:val="clear" w:color="auto" w:fill="F8FAFC"/>
            <w:tcMar>
              <w:top w:w="60" w:type="dxa"/>
              <w:left w:w="80" w:type="dxa"/>
              <w:bottom w:w="60" w:type="dxa"/>
              <w:right w:w="80" w:type="dxa"/>
            </w:tcMar>
          </w:tcPr>
          <w:p w14:paraId="036C34EE" w14:textId="77777777" w:rsidR="002D7F6C" w:rsidRDefault="00000000">
            <w:pPr>
              <w:spacing w:after="0" w:line="264" w:lineRule="auto"/>
            </w:pPr>
            <w:r>
              <w:rPr>
                <w:rFonts w:ascii="Segoe UI" w:hAnsi="Segoe UI"/>
                <w:b/>
                <w:color w:val="1E293B"/>
                <w:sz w:val="14"/>
              </w:rPr>
              <w:t>1.0000</w:t>
            </w:r>
          </w:p>
        </w:tc>
        <w:tc>
          <w:tcPr>
            <w:tcW w:w="1393" w:type="dxa"/>
            <w:shd w:val="clear" w:color="auto" w:fill="F8FAFC"/>
            <w:tcMar>
              <w:top w:w="60" w:type="dxa"/>
              <w:left w:w="80" w:type="dxa"/>
              <w:bottom w:w="60" w:type="dxa"/>
              <w:right w:w="80" w:type="dxa"/>
            </w:tcMar>
          </w:tcPr>
          <w:p w14:paraId="69373B44" w14:textId="77777777" w:rsidR="002D7F6C" w:rsidRDefault="00000000">
            <w:pPr>
              <w:spacing w:after="0" w:line="264" w:lineRule="auto"/>
            </w:pPr>
            <w:r>
              <w:rPr>
                <w:rFonts w:ascii="Segoe UI" w:hAnsi="Segoe UI"/>
                <w:b/>
                <w:color w:val="1E293B"/>
                <w:sz w:val="14"/>
              </w:rPr>
              <w:t>1.0000</w:t>
            </w:r>
          </w:p>
        </w:tc>
        <w:tc>
          <w:tcPr>
            <w:tcW w:w="1393" w:type="dxa"/>
            <w:shd w:val="clear" w:color="auto" w:fill="F8FAFC"/>
            <w:tcMar>
              <w:top w:w="60" w:type="dxa"/>
              <w:left w:w="80" w:type="dxa"/>
              <w:bottom w:w="60" w:type="dxa"/>
              <w:right w:w="80" w:type="dxa"/>
            </w:tcMar>
          </w:tcPr>
          <w:p w14:paraId="06E99160" w14:textId="77777777" w:rsidR="002D7F6C" w:rsidRDefault="00000000">
            <w:pPr>
              <w:spacing w:after="0" w:line="264" w:lineRule="auto"/>
            </w:pPr>
            <w:r>
              <w:rPr>
                <w:rFonts w:ascii="Segoe UI" w:hAnsi="Segoe UI"/>
                <w:b/>
                <w:color w:val="1E293B"/>
                <w:sz w:val="14"/>
              </w:rPr>
              <w:t>1.0000</w:t>
            </w:r>
          </w:p>
        </w:tc>
        <w:tc>
          <w:tcPr>
            <w:tcW w:w="1393" w:type="dxa"/>
            <w:shd w:val="clear" w:color="auto" w:fill="F8FAFC"/>
            <w:tcMar>
              <w:top w:w="60" w:type="dxa"/>
              <w:left w:w="80" w:type="dxa"/>
              <w:bottom w:w="60" w:type="dxa"/>
              <w:right w:w="80" w:type="dxa"/>
            </w:tcMar>
          </w:tcPr>
          <w:p w14:paraId="497AB20B" w14:textId="77777777" w:rsidR="002D7F6C" w:rsidRDefault="00000000">
            <w:pPr>
              <w:spacing w:after="0" w:line="264" w:lineRule="auto"/>
            </w:pPr>
            <w:r>
              <w:rPr>
                <w:rFonts w:ascii="Segoe UI" w:hAnsi="Segoe UI"/>
                <w:b/>
                <w:color w:val="1E293B"/>
                <w:sz w:val="14"/>
              </w:rPr>
              <w:t>1.0000</w:t>
            </w:r>
          </w:p>
        </w:tc>
      </w:tr>
      <w:tr w:rsidR="002D7F6C" w14:paraId="635B9952" w14:textId="77777777">
        <w:trPr>
          <w:jc w:val="center"/>
        </w:trPr>
        <w:tc>
          <w:tcPr>
            <w:tcW w:w="1393" w:type="dxa"/>
            <w:tcMar>
              <w:top w:w="60" w:type="dxa"/>
              <w:left w:w="80" w:type="dxa"/>
              <w:bottom w:w="60" w:type="dxa"/>
              <w:right w:w="80" w:type="dxa"/>
            </w:tcMar>
          </w:tcPr>
          <w:p w14:paraId="2A0DD3CC" w14:textId="77777777" w:rsidR="002D7F6C" w:rsidRDefault="00000000">
            <w:pPr>
              <w:spacing w:after="0" w:line="264" w:lineRule="auto"/>
            </w:pPr>
            <w:r>
              <w:rPr>
                <w:rFonts w:ascii="Segoe UI" w:hAnsi="Segoe UI"/>
                <w:b/>
                <w:color w:val="1E293B"/>
                <w:sz w:val="14"/>
              </w:rPr>
              <w:t>Random Forest (100 Trees)</w:t>
            </w:r>
          </w:p>
        </w:tc>
        <w:tc>
          <w:tcPr>
            <w:tcW w:w="1393" w:type="dxa"/>
            <w:tcMar>
              <w:top w:w="60" w:type="dxa"/>
              <w:left w:w="80" w:type="dxa"/>
              <w:bottom w:w="60" w:type="dxa"/>
              <w:right w:w="80" w:type="dxa"/>
            </w:tcMar>
          </w:tcPr>
          <w:p w14:paraId="6F82FD85" w14:textId="77777777" w:rsidR="002D7F6C" w:rsidRDefault="00000000">
            <w:pPr>
              <w:spacing w:after="0" w:line="264" w:lineRule="auto"/>
            </w:pPr>
            <w:r>
              <w:rPr>
                <w:rFonts w:ascii="Segoe UI" w:hAnsi="Segoe UI"/>
                <w:color w:val="1E293B"/>
                <w:sz w:val="14"/>
              </w:rPr>
              <w:t>1.0000</w:t>
            </w:r>
          </w:p>
        </w:tc>
        <w:tc>
          <w:tcPr>
            <w:tcW w:w="1393" w:type="dxa"/>
            <w:tcMar>
              <w:top w:w="60" w:type="dxa"/>
              <w:left w:w="80" w:type="dxa"/>
              <w:bottom w:w="60" w:type="dxa"/>
              <w:right w:w="80" w:type="dxa"/>
            </w:tcMar>
          </w:tcPr>
          <w:p w14:paraId="0F44C1F1" w14:textId="77777777" w:rsidR="002D7F6C" w:rsidRDefault="00000000">
            <w:pPr>
              <w:spacing w:after="0" w:line="264" w:lineRule="auto"/>
            </w:pPr>
            <w:r>
              <w:rPr>
                <w:rFonts w:ascii="Segoe UI" w:hAnsi="Segoe UI"/>
                <w:color w:val="1E293B"/>
                <w:sz w:val="14"/>
              </w:rPr>
              <w:t>1.0000</w:t>
            </w:r>
          </w:p>
        </w:tc>
        <w:tc>
          <w:tcPr>
            <w:tcW w:w="1393" w:type="dxa"/>
            <w:tcMar>
              <w:top w:w="60" w:type="dxa"/>
              <w:left w:w="80" w:type="dxa"/>
              <w:bottom w:w="60" w:type="dxa"/>
              <w:right w:w="80" w:type="dxa"/>
            </w:tcMar>
          </w:tcPr>
          <w:p w14:paraId="5BD1004F" w14:textId="77777777" w:rsidR="002D7F6C" w:rsidRDefault="00000000">
            <w:pPr>
              <w:spacing w:after="0" w:line="264" w:lineRule="auto"/>
            </w:pPr>
            <w:r>
              <w:rPr>
                <w:rFonts w:ascii="Segoe UI" w:hAnsi="Segoe UI"/>
                <w:color w:val="1E293B"/>
                <w:sz w:val="14"/>
              </w:rPr>
              <w:t>1.0000</w:t>
            </w:r>
          </w:p>
        </w:tc>
        <w:tc>
          <w:tcPr>
            <w:tcW w:w="1393" w:type="dxa"/>
            <w:tcMar>
              <w:top w:w="60" w:type="dxa"/>
              <w:left w:w="80" w:type="dxa"/>
              <w:bottom w:w="60" w:type="dxa"/>
              <w:right w:w="80" w:type="dxa"/>
            </w:tcMar>
          </w:tcPr>
          <w:p w14:paraId="7C05B4A8" w14:textId="77777777" w:rsidR="002D7F6C" w:rsidRDefault="00000000">
            <w:pPr>
              <w:spacing w:after="0" w:line="264" w:lineRule="auto"/>
            </w:pPr>
            <w:r>
              <w:rPr>
                <w:rFonts w:ascii="Segoe UI" w:hAnsi="Segoe UI"/>
                <w:color w:val="1E293B"/>
                <w:sz w:val="14"/>
              </w:rPr>
              <w:t>1.0000</w:t>
            </w:r>
          </w:p>
        </w:tc>
        <w:tc>
          <w:tcPr>
            <w:tcW w:w="1393" w:type="dxa"/>
            <w:tcMar>
              <w:top w:w="60" w:type="dxa"/>
              <w:left w:w="80" w:type="dxa"/>
              <w:bottom w:w="60" w:type="dxa"/>
              <w:right w:w="80" w:type="dxa"/>
            </w:tcMar>
          </w:tcPr>
          <w:p w14:paraId="01F088B2" w14:textId="77777777" w:rsidR="002D7F6C" w:rsidRDefault="00000000">
            <w:pPr>
              <w:spacing w:after="0" w:line="264" w:lineRule="auto"/>
            </w:pPr>
            <w:r>
              <w:rPr>
                <w:rFonts w:ascii="Segoe UI" w:hAnsi="Segoe UI"/>
                <w:color w:val="1E293B"/>
                <w:sz w:val="14"/>
              </w:rPr>
              <w:t>1.0000</w:t>
            </w:r>
          </w:p>
        </w:tc>
        <w:tc>
          <w:tcPr>
            <w:tcW w:w="1393" w:type="dxa"/>
            <w:tcMar>
              <w:top w:w="60" w:type="dxa"/>
              <w:left w:w="80" w:type="dxa"/>
              <w:bottom w:w="60" w:type="dxa"/>
              <w:right w:w="80" w:type="dxa"/>
            </w:tcMar>
          </w:tcPr>
          <w:p w14:paraId="03B8CB4A" w14:textId="77777777" w:rsidR="002D7F6C" w:rsidRDefault="00000000">
            <w:pPr>
              <w:spacing w:after="0" w:line="264" w:lineRule="auto"/>
            </w:pPr>
            <w:r>
              <w:rPr>
                <w:rFonts w:ascii="Segoe UI" w:hAnsi="Segoe UI"/>
                <w:color w:val="1E293B"/>
                <w:sz w:val="14"/>
              </w:rPr>
              <w:t>1.0000</w:t>
            </w:r>
          </w:p>
        </w:tc>
      </w:tr>
      <w:tr w:rsidR="002D7F6C" w14:paraId="6D0B9BF0" w14:textId="77777777">
        <w:trPr>
          <w:jc w:val="center"/>
        </w:trPr>
        <w:tc>
          <w:tcPr>
            <w:tcW w:w="1393" w:type="dxa"/>
            <w:shd w:val="clear" w:color="auto" w:fill="F8FAFC"/>
            <w:tcMar>
              <w:top w:w="60" w:type="dxa"/>
              <w:left w:w="80" w:type="dxa"/>
              <w:bottom w:w="60" w:type="dxa"/>
              <w:right w:w="80" w:type="dxa"/>
            </w:tcMar>
          </w:tcPr>
          <w:p w14:paraId="4C15BB8A" w14:textId="77777777" w:rsidR="002D7F6C" w:rsidRDefault="00000000">
            <w:pPr>
              <w:spacing w:after="0" w:line="264" w:lineRule="auto"/>
            </w:pPr>
            <w:r>
              <w:rPr>
                <w:rFonts w:ascii="Segoe UI" w:hAnsi="Segoe UI"/>
                <w:b/>
                <w:color w:val="1E293B"/>
                <w:sz w:val="14"/>
              </w:rPr>
              <w:t>Support Vector Machine (Linear)</w:t>
            </w:r>
          </w:p>
        </w:tc>
        <w:tc>
          <w:tcPr>
            <w:tcW w:w="1393" w:type="dxa"/>
            <w:shd w:val="clear" w:color="auto" w:fill="F8FAFC"/>
            <w:tcMar>
              <w:top w:w="60" w:type="dxa"/>
              <w:left w:w="80" w:type="dxa"/>
              <w:bottom w:w="60" w:type="dxa"/>
              <w:right w:w="80" w:type="dxa"/>
            </w:tcMar>
          </w:tcPr>
          <w:p w14:paraId="78C8891A" w14:textId="77777777" w:rsidR="002D7F6C" w:rsidRDefault="00000000">
            <w:pPr>
              <w:spacing w:after="0" w:line="264" w:lineRule="auto"/>
            </w:pPr>
            <w:r>
              <w:rPr>
                <w:rFonts w:ascii="Segoe UI" w:hAnsi="Segoe UI"/>
                <w:color w:val="1E293B"/>
                <w:sz w:val="14"/>
              </w:rPr>
              <w:t>1.0000</w:t>
            </w:r>
          </w:p>
        </w:tc>
        <w:tc>
          <w:tcPr>
            <w:tcW w:w="1393" w:type="dxa"/>
            <w:shd w:val="clear" w:color="auto" w:fill="F8FAFC"/>
            <w:tcMar>
              <w:top w:w="60" w:type="dxa"/>
              <w:left w:w="80" w:type="dxa"/>
              <w:bottom w:w="60" w:type="dxa"/>
              <w:right w:w="80" w:type="dxa"/>
            </w:tcMar>
          </w:tcPr>
          <w:p w14:paraId="4040A0D5" w14:textId="77777777" w:rsidR="002D7F6C" w:rsidRDefault="00000000">
            <w:pPr>
              <w:spacing w:after="0" w:line="264" w:lineRule="auto"/>
            </w:pPr>
            <w:r>
              <w:rPr>
                <w:rFonts w:ascii="Segoe UI" w:hAnsi="Segoe UI"/>
                <w:color w:val="1E293B"/>
                <w:sz w:val="14"/>
              </w:rPr>
              <w:t>1.0000</w:t>
            </w:r>
          </w:p>
        </w:tc>
        <w:tc>
          <w:tcPr>
            <w:tcW w:w="1393" w:type="dxa"/>
            <w:shd w:val="clear" w:color="auto" w:fill="F8FAFC"/>
            <w:tcMar>
              <w:top w:w="60" w:type="dxa"/>
              <w:left w:w="80" w:type="dxa"/>
              <w:bottom w:w="60" w:type="dxa"/>
              <w:right w:w="80" w:type="dxa"/>
            </w:tcMar>
          </w:tcPr>
          <w:p w14:paraId="0A66E4EC" w14:textId="77777777" w:rsidR="002D7F6C" w:rsidRDefault="00000000">
            <w:pPr>
              <w:spacing w:after="0" w:line="264" w:lineRule="auto"/>
            </w:pPr>
            <w:r>
              <w:rPr>
                <w:rFonts w:ascii="Segoe UI" w:hAnsi="Segoe UI"/>
                <w:color w:val="1E293B"/>
                <w:sz w:val="14"/>
              </w:rPr>
              <w:t>1.0000</w:t>
            </w:r>
          </w:p>
        </w:tc>
        <w:tc>
          <w:tcPr>
            <w:tcW w:w="1393" w:type="dxa"/>
            <w:shd w:val="clear" w:color="auto" w:fill="F8FAFC"/>
            <w:tcMar>
              <w:top w:w="60" w:type="dxa"/>
              <w:left w:w="80" w:type="dxa"/>
              <w:bottom w:w="60" w:type="dxa"/>
              <w:right w:w="80" w:type="dxa"/>
            </w:tcMar>
          </w:tcPr>
          <w:p w14:paraId="2868E789" w14:textId="77777777" w:rsidR="002D7F6C" w:rsidRDefault="00000000">
            <w:pPr>
              <w:spacing w:after="0" w:line="264" w:lineRule="auto"/>
            </w:pPr>
            <w:r>
              <w:rPr>
                <w:rFonts w:ascii="Segoe UI" w:hAnsi="Segoe UI"/>
                <w:color w:val="1E293B"/>
                <w:sz w:val="14"/>
              </w:rPr>
              <w:t>1.0000</w:t>
            </w:r>
          </w:p>
        </w:tc>
        <w:tc>
          <w:tcPr>
            <w:tcW w:w="1393" w:type="dxa"/>
            <w:shd w:val="clear" w:color="auto" w:fill="F8FAFC"/>
            <w:tcMar>
              <w:top w:w="60" w:type="dxa"/>
              <w:left w:w="80" w:type="dxa"/>
              <w:bottom w:w="60" w:type="dxa"/>
              <w:right w:w="80" w:type="dxa"/>
            </w:tcMar>
          </w:tcPr>
          <w:p w14:paraId="5B873647" w14:textId="77777777" w:rsidR="002D7F6C" w:rsidRDefault="00000000">
            <w:pPr>
              <w:spacing w:after="0" w:line="264" w:lineRule="auto"/>
            </w:pPr>
            <w:r>
              <w:rPr>
                <w:rFonts w:ascii="Segoe UI" w:hAnsi="Segoe UI"/>
                <w:color w:val="1E293B"/>
                <w:sz w:val="14"/>
              </w:rPr>
              <w:t>1.0000</w:t>
            </w:r>
          </w:p>
        </w:tc>
        <w:tc>
          <w:tcPr>
            <w:tcW w:w="1393" w:type="dxa"/>
            <w:shd w:val="clear" w:color="auto" w:fill="F8FAFC"/>
            <w:tcMar>
              <w:top w:w="60" w:type="dxa"/>
              <w:left w:w="80" w:type="dxa"/>
              <w:bottom w:w="60" w:type="dxa"/>
              <w:right w:w="80" w:type="dxa"/>
            </w:tcMar>
          </w:tcPr>
          <w:p w14:paraId="6D3A34E1" w14:textId="77777777" w:rsidR="002D7F6C" w:rsidRDefault="00000000">
            <w:pPr>
              <w:spacing w:after="0" w:line="264" w:lineRule="auto"/>
            </w:pPr>
            <w:r>
              <w:rPr>
                <w:rFonts w:ascii="Segoe UI" w:hAnsi="Segoe UI"/>
                <w:color w:val="1E293B"/>
                <w:sz w:val="14"/>
              </w:rPr>
              <w:t>1.0000</w:t>
            </w:r>
          </w:p>
        </w:tc>
      </w:tr>
      <w:tr w:rsidR="002D7F6C" w14:paraId="423EDEFA" w14:textId="77777777">
        <w:trPr>
          <w:jc w:val="center"/>
        </w:trPr>
        <w:tc>
          <w:tcPr>
            <w:tcW w:w="1393" w:type="dxa"/>
            <w:tcMar>
              <w:top w:w="60" w:type="dxa"/>
              <w:left w:w="80" w:type="dxa"/>
              <w:bottom w:w="60" w:type="dxa"/>
              <w:right w:w="80" w:type="dxa"/>
            </w:tcMar>
          </w:tcPr>
          <w:p w14:paraId="716A3E4B" w14:textId="77777777" w:rsidR="002D7F6C" w:rsidRDefault="00000000">
            <w:pPr>
              <w:spacing w:after="0" w:line="264" w:lineRule="auto"/>
            </w:pPr>
            <w:r>
              <w:rPr>
                <w:rFonts w:ascii="Segoe UI" w:hAnsi="Segoe UI"/>
                <w:b/>
                <w:color w:val="1E293B"/>
                <w:sz w:val="14"/>
              </w:rPr>
              <w:t>Stratified Dummy (Baseline)</w:t>
            </w:r>
          </w:p>
        </w:tc>
        <w:tc>
          <w:tcPr>
            <w:tcW w:w="1393" w:type="dxa"/>
            <w:tcMar>
              <w:top w:w="60" w:type="dxa"/>
              <w:left w:w="80" w:type="dxa"/>
              <w:bottom w:w="60" w:type="dxa"/>
              <w:right w:w="80" w:type="dxa"/>
            </w:tcMar>
          </w:tcPr>
          <w:p w14:paraId="13E4CA0C" w14:textId="77777777" w:rsidR="002D7F6C" w:rsidRDefault="00000000">
            <w:pPr>
              <w:spacing w:after="0" w:line="264" w:lineRule="auto"/>
            </w:pPr>
            <w:r>
              <w:rPr>
                <w:rFonts w:ascii="Segoe UI" w:hAnsi="Segoe UI"/>
                <w:color w:val="1E293B"/>
                <w:sz w:val="14"/>
              </w:rPr>
              <w:t>0.0164</w:t>
            </w:r>
          </w:p>
        </w:tc>
        <w:tc>
          <w:tcPr>
            <w:tcW w:w="1393" w:type="dxa"/>
            <w:tcMar>
              <w:top w:w="60" w:type="dxa"/>
              <w:left w:w="80" w:type="dxa"/>
              <w:bottom w:w="60" w:type="dxa"/>
              <w:right w:w="80" w:type="dxa"/>
            </w:tcMar>
          </w:tcPr>
          <w:p w14:paraId="4B27D925" w14:textId="77777777" w:rsidR="002D7F6C" w:rsidRDefault="00000000">
            <w:pPr>
              <w:spacing w:after="0" w:line="264" w:lineRule="auto"/>
            </w:pPr>
            <w:r>
              <w:rPr>
                <w:rFonts w:ascii="Segoe UI" w:hAnsi="Segoe UI"/>
                <w:color w:val="1E293B"/>
                <w:sz w:val="14"/>
              </w:rPr>
              <w:t>0.0122</w:t>
            </w:r>
          </w:p>
        </w:tc>
        <w:tc>
          <w:tcPr>
            <w:tcW w:w="1393" w:type="dxa"/>
            <w:tcMar>
              <w:top w:w="60" w:type="dxa"/>
              <w:left w:w="80" w:type="dxa"/>
              <w:bottom w:w="60" w:type="dxa"/>
              <w:right w:w="80" w:type="dxa"/>
            </w:tcMar>
          </w:tcPr>
          <w:p w14:paraId="52C22F6A" w14:textId="77777777" w:rsidR="002D7F6C" w:rsidRDefault="00000000">
            <w:pPr>
              <w:spacing w:after="0" w:line="264" w:lineRule="auto"/>
            </w:pPr>
            <w:r>
              <w:rPr>
                <w:rFonts w:ascii="Segoe UI" w:hAnsi="Segoe UI"/>
                <w:color w:val="1E293B"/>
                <w:sz w:val="14"/>
              </w:rPr>
              <w:t>0.0122</w:t>
            </w:r>
          </w:p>
        </w:tc>
        <w:tc>
          <w:tcPr>
            <w:tcW w:w="1393" w:type="dxa"/>
            <w:tcMar>
              <w:top w:w="60" w:type="dxa"/>
              <w:left w:w="80" w:type="dxa"/>
              <w:bottom w:w="60" w:type="dxa"/>
              <w:right w:w="80" w:type="dxa"/>
            </w:tcMar>
          </w:tcPr>
          <w:p w14:paraId="7EA1E094" w14:textId="77777777" w:rsidR="002D7F6C" w:rsidRDefault="00000000">
            <w:pPr>
              <w:spacing w:after="0" w:line="264" w:lineRule="auto"/>
            </w:pPr>
            <w:r>
              <w:rPr>
                <w:rFonts w:ascii="Segoe UI" w:hAnsi="Segoe UI"/>
                <w:color w:val="1E293B"/>
                <w:sz w:val="14"/>
              </w:rPr>
              <w:t>0.0122</w:t>
            </w:r>
          </w:p>
        </w:tc>
        <w:tc>
          <w:tcPr>
            <w:tcW w:w="1393" w:type="dxa"/>
            <w:tcMar>
              <w:top w:w="60" w:type="dxa"/>
              <w:left w:w="80" w:type="dxa"/>
              <w:bottom w:w="60" w:type="dxa"/>
              <w:right w:w="80" w:type="dxa"/>
            </w:tcMar>
          </w:tcPr>
          <w:p w14:paraId="23317D43" w14:textId="77777777" w:rsidR="002D7F6C" w:rsidRDefault="00000000">
            <w:pPr>
              <w:spacing w:after="0" w:line="264" w:lineRule="auto"/>
            </w:pPr>
            <w:r>
              <w:rPr>
                <w:rFonts w:ascii="Segoe UI" w:hAnsi="Segoe UI"/>
                <w:color w:val="1E293B"/>
                <w:sz w:val="14"/>
              </w:rPr>
              <w:t>0.0122</w:t>
            </w:r>
          </w:p>
        </w:tc>
        <w:tc>
          <w:tcPr>
            <w:tcW w:w="1393" w:type="dxa"/>
            <w:tcMar>
              <w:top w:w="60" w:type="dxa"/>
              <w:left w:w="80" w:type="dxa"/>
              <w:bottom w:w="60" w:type="dxa"/>
              <w:right w:w="80" w:type="dxa"/>
            </w:tcMar>
          </w:tcPr>
          <w:p w14:paraId="3C9F319B" w14:textId="77777777" w:rsidR="002D7F6C" w:rsidRDefault="00000000">
            <w:pPr>
              <w:spacing w:after="0" w:line="264" w:lineRule="auto"/>
            </w:pPr>
            <w:r>
              <w:rPr>
                <w:rFonts w:ascii="Segoe UI" w:hAnsi="Segoe UI"/>
                <w:color w:val="1E293B"/>
                <w:sz w:val="14"/>
              </w:rPr>
              <w:t>0.0164</w:t>
            </w:r>
          </w:p>
        </w:tc>
      </w:tr>
    </w:tbl>
    <w:p w14:paraId="00FCE43B" w14:textId="77777777" w:rsidR="002D7F6C" w:rsidRDefault="002D7F6C">
      <w:pPr>
        <w:spacing w:after="80"/>
      </w:pPr>
    </w:p>
    <w:p w14:paraId="00CC62E2" w14:textId="77777777" w:rsidR="002D7F6C" w:rsidRDefault="00000000">
      <w:pPr>
        <w:keepNext/>
        <w:spacing w:before="160" w:after="40"/>
        <w:jc w:val="center"/>
      </w:pPr>
      <w:r>
        <w:rPr>
          <w:noProof/>
        </w:rPr>
        <w:drawing>
          <wp:inline distT="0" distB="0" distL="0" distR="0" wp14:anchorId="22D1DA9A" wp14:editId="67BC1D62">
            <wp:extent cx="4754880" cy="28529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performance_comparison.png"/>
                    <pic:cNvPicPr/>
                  </pic:nvPicPr>
                  <pic:blipFill>
                    <a:blip r:embed="rId20"/>
                    <a:stretch>
                      <a:fillRect/>
                    </a:stretch>
                  </pic:blipFill>
                  <pic:spPr>
                    <a:xfrm>
                      <a:off x="0" y="0"/>
                      <a:ext cx="4754880" cy="2852928"/>
                    </a:xfrm>
                    <a:prstGeom prst="rect">
                      <a:avLst/>
                    </a:prstGeom>
                  </pic:spPr>
                </pic:pic>
              </a:graphicData>
            </a:graphic>
          </wp:inline>
        </w:drawing>
      </w:r>
    </w:p>
    <w:p w14:paraId="3BFA3B77" w14:textId="77777777" w:rsidR="002D7F6C" w:rsidRDefault="00000000">
      <w:pPr>
        <w:spacing w:before="40" w:after="160"/>
        <w:jc w:val="center"/>
      </w:pPr>
      <w:r>
        <w:rPr>
          <w:rFonts w:ascii="Segoe UI" w:hAnsi="Segoe UI"/>
          <w:i/>
          <w:color w:val="64748B"/>
          <w:sz w:val="16"/>
        </w:rPr>
        <w:t>Figure 5.1: Comparative benchmark metrics across candidate classifier architectures on the held-out test split.</w:t>
      </w:r>
    </w:p>
    <w:p w14:paraId="09C80E86" w14:textId="77777777" w:rsidR="002D7F6C" w:rsidRDefault="00000000">
      <w:pPr>
        <w:keepNext/>
        <w:spacing w:before="160" w:after="40"/>
        <w:jc w:val="center"/>
      </w:pPr>
      <w:r>
        <w:rPr>
          <w:noProof/>
        </w:rPr>
        <w:lastRenderedPageBreak/>
        <w:drawing>
          <wp:inline distT="0" distB="0" distL="0" distR="0" wp14:anchorId="36C037D5" wp14:editId="072AAA31">
            <wp:extent cx="4754880" cy="40756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21"/>
                    <a:stretch>
                      <a:fillRect/>
                    </a:stretch>
                  </pic:blipFill>
                  <pic:spPr>
                    <a:xfrm>
                      <a:off x="0" y="0"/>
                      <a:ext cx="4754880" cy="4075611"/>
                    </a:xfrm>
                    <a:prstGeom prst="rect">
                      <a:avLst/>
                    </a:prstGeom>
                  </pic:spPr>
                </pic:pic>
              </a:graphicData>
            </a:graphic>
          </wp:inline>
        </w:drawing>
      </w:r>
    </w:p>
    <w:p w14:paraId="5AE1DE14" w14:textId="1FC3366B" w:rsidR="002D7F6C" w:rsidRDefault="00000000">
      <w:pPr>
        <w:spacing w:before="40" w:after="160"/>
        <w:jc w:val="center"/>
      </w:pPr>
      <w:r>
        <w:rPr>
          <w:rFonts w:ascii="Segoe UI" w:hAnsi="Segoe UI"/>
          <w:i/>
          <w:color w:val="64748B"/>
          <w:sz w:val="16"/>
        </w:rPr>
        <w:t xml:space="preserve">Figure 5.2: </w:t>
      </w:r>
      <w:r w:rsidR="00F70AF2">
        <w:rPr>
          <w:rFonts w:ascii="Segoe UI" w:hAnsi="Segoe UI"/>
          <w:i/>
          <w:color w:val="64748B"/>
          <w:sz w:val="16"/>
        </w:rPr>
        <w:t>Normalised</w:t>
      </w:r>
      <w:r>
        <w:rPr>
          <w:rFonts w:ascii="Segoe UI" w:hAnsi="Segoe UI"/>
          <w:i/>
          <w:color w:val="64748B"/>
          <w:sz w:val="16"/>
        </w:rPr>
        <w:t xml:space="preserve"> confusion matrix demonstrating zero off-diagonal misclassifications on held-out benchmark vectors.</w:t>
      </w:r>
    </w:p>
    <w:tbl>
      <w:tblPr>
        <w:tblW w:w="0" w:type="auto"/>
        <w:jc w:val="center"/>
        <w:tblBorders>
          <w:top w:val="single" w:sz="4" w:space="0" w:color="E2E8F0"/>
          <w:left w:val="single" w:sz="24" w:space="0" w:color="0284C7"/>
          <w:bottom w:val="single" w:sz="4" w:space="0" w:color="E2E8F0"/>
          <w:right w:val="single" w:sz="4" w:space="0" w:color="E2E8F0"/>
        </w:tblBorders>
        <w:tblLook w:val="04A0" w:firstRow="1" w:lastRow="0" w:firstColumn="1" w:lastColumn="0" w:noHBand="0" w:noVBand="1"/>
      </w:tblPr>
      <w:tblGrid>
        <w:gridCol w:w="9749"/>
      </w:tblGrid>
      <w:tr w:rsidR="002D7F6C" w14:paraId="0BC11865" w14:textId="77777777">
        <w:trPr>
          <w:jc w:val="center"/>
        </w:trPr>
        <w:tc>
          <w:tcPr>
            <w:tcW w:w="9749" w:type="dxa"/>
            <w:shd w:val="clear" w:color="auto" w:fill="F8FAFC"/>
            <w:tcMar>
              <w:top w:w="90" w:type="dxa"/>
              <w:left w:w="130" w:type="dxa"/>
              <w:bottom w:w="90" w:type="dxa"/>
              <w:right w:w="130" w:type="dxa"/>
            </w:tcMar>
          </w:tcPr>
          <w:p w14:paraId="26119656" w14:textId="77777777" w:rsidR="002D7F6C" w:rsidRDefault="00000000">
            <w:pPr>
              <w:spacing w:after="0"/>
            </w:pPr>
            <w:r>
              <w:rPr>
                <w:rFonts w:ascii="Consolas" w:hAnsi="Consolas"/>
                <w:color w:val="1E293B"/>
                <w:sz w:val="15"/>
              </w:rPr>
              <w:t>Classification Report Summary (outputs/model_evaluation/classification_report.txt):</w:t>
            </w:r>
            <w:r>
              <w:rPr>
                <w:rFonts w:ascii="Consolas" w:hAnsi="Consolas"/>
                <w:color w:val="1E293B"/>
                <w:sz w:val="15"/>
              </w:rPr>
              <w:br/>
              <w:t>Total Test Patterns: 61 patterns across 41 classes (1 to 2 patterns per class)</w:t>
            </w:r>
            <w:r>
              <w:rPr>
                <w:rFonts w:ascii="Consolas" w:hAnsi="Consolas"/>
                <w:color w:val="1E293B"/>
                <w:sz w:val="15"/>
              </w:rPr>
              <w:br/>
              <w:t>Accuracy:          1.0000 (61/61 correct)</w:t>
            </w:r>
            <w:r>
              <w:rPr>
                <w:rFonts w:ascii="Consolas" w:hAnsi="Consolas"/>
                <w:color w:val="1E293B"/>
                <w:sz w:val="15"/>
              </w:rPr>
              <w:br/>
              <w:t>Macro Avg F1:      1.0000</w:t>
            </w:r>
            <w:r>
              <w:rPr>
                <w:rFonts w:ascii="Consolas" w:hAnsi="Consolas"/>
                <w:color w:val="1E293B"/>
                <w:sz w:val="15"/>
              </w:rPr>
              <w:br/>
              <w:t>Weighted Avg F1:   1.0000</w:t>
            </w:r>
            <w:r>
              <w:rPr>
                <w:rFonts w:ascii="Consolas" w:hAnsi="Consolas"/>
                <w:color w:val="1E293B"/>
                <w:sz w:val="15"/>
              </w:rPr>
              <w:br/>
              <w:t>5-Fold Stratified Cross-Validation: Mean Accuracy = 1.0000 ± 0.0000, Mean Macro F1 = 1.0000 ± 0.0000</w:t>
            </w:r>
          </w:p>
        </w:tc>
      </w:tr>
    </w:tbl>
    <w:p w14:paraId="09D1822F" w14:textId="77777777" w:rsidR="002D7F6C" w:rsidRDefault="002D7F6C">
      <w:pPr>
        <w:spacing w:after="80"/>
      </w:pPr>
    </w:p>
    <w:p w14:paraId="457BEDFC" w14:textId="77777777" w:rsidR="002D7F6C" w:rsidRDefault="00000000">
      <w:pPr>
        <w:keepNext/>
        <w:spacing w:before="120" w:after="40"/>
      </w:pPr>
      <w:r>
        <w:rPr>
          <w:rFonts w:ascii="Segoe UI" w:hAnsi="Segoe UI"/>
          <w:b/>
          <w:color w:val="334155"/>
          <w:sz w:val="18"/>
        </w:rPr>
        <w:t>Scientific Appraisal: Synthetic Benchmarks vs. Real-World Clinical Diagnosis</w:t>
      </w:r>
    </w:p>
    <w:p w14:paraId="3E65BD21" w14:textId="77777777" w:rsidR="002D7F6C" w:rsidRDefault="00000000">
      <w:pPr>
        <w:spacing w:after="80"/>
      </w:pPr>
      <w:r>
        <w:rPr>
          <w:rFonts w:ascii="Segoe UI" w:hAnsi="Segoe UI"/>
          <w:color w:val="1E293B"/>
          <w:sz w:val="18"/>
        </w:rPr>
        <w:t xml:space="preserve">The achievement of 100% accuracy on held-out test data and 5-fold cross-validation is an </w:t>
      </w:r>
      <w:r>
        <w:rPr>
          <w:rFonts w:ascii="Segoe UI" w:hAnsi="Segoe UI"/>
          <w:b/>
          <w:color w:val="1E293B"/>
          <w:sz w:val="18"/>
        </w:rPr>
        <w:t>empirical property of the synthetic benchmark manifold</w:t>
      </w:r>
      <w:r>
        <w:rPr>
          <w:rFonts w:ascii="Segoe UI" w:hAnsi="Segoe UI"/>
          <w:color w:val="1E293B"/>
          <w:sz w:val="18"/>
        </w:rPr>
        <w:t>. The 304 unique patterns represent highly separable symptom patterns in the provided dataset that are linearly separable in 132-dimensional binary feature space.</w:t>
      </w:r>
    </w:p>
    <w:tbl>
      <w:tblPr>
        <w:tblW w:w="0" w:type="auto"/>
        <w:jc w:val="center"/>
        <w:tblBorders>
          <w:left w:val="single" w:sz="24" w:space="0" w:color="0284C7"/>
        </w:tblBorders>
        <w:tblLook w:val="04A0" w:firstRow="1" w:lastRow="0" w:firstColumn="1" w:lastColumn="0" w:noHBand="0" w:noVBand="1"/>
      </w:tblPr>
      <w:tblGrid>
        <w:gridCol w:w="9749"/>
      </w:tblGrid>
      <w:tr w:rsidR="002D7F6C" w14:paraId="32F611C4" w14:textId="77777777">
        <w:trPr>
          <w:jc w:val="center"/>
        </w:trPr>
        <w:tc>
          <w:tcPr>
            <w:tcW w:w="9749" w:type="dxa"/>
            <w:shd w:val="clear" w:color="auto" w:fill="F0F9FF"/>
            <w:tcMar>
              <w:top w:w="100" w:type="dxa"/>
              <w:left w:w="150" w:type="dxa"/>
              <w:bottom w:w="100" w:type="dxa"/>
              <w:right w:w="150" w:type="dxa"/>
            </w:tcMar>
          </w:tcPr>
          <w:p w14:paraId="601579FF" w14:textId="77777777" w:rsidR="002D7F6C" w:rsidRDefault="00000000">
            <w:pPr>
              <w:spacing w:after="0"/>
            </w:pPr>
            <w:r>
              <w:rPr>
                <w:rFonts w:ascii="Segoe UI" w:hAnsi="Segoe UI"/>
                <w:b/>
                <w:color w:val="0C4A6E"/>
                <w:sz w:val="17"/>
              </w:rPr>
              <w:t>CRITICAL CLINICAL GENERALIZABILITY DISCLAIMER</w:t>
            </w:r>
            <w:r>
              <w:rPr>
                <w:rFonts w:ascii="Segoe UI" w:hAnsi="Segoe UI"/>
                <w:color w:val="0C4A6E"/>
                <w:sz w:val="17"/>
              </w:rPr>
              <w:t xml:space="preserve">: These results do </w:t>
            </w:r>
            <w:r>
              <w:rPr>
                <w:rFonts w:ascii="Segoe UI" w:hAnsi="Segoe UI"/>
                <w:b/>
                <w:color w:val="0C4A6E"/>
                <w:sz w:val="17"/>
              </w:rPr>
              <w:t>NOT</w:t>
            </w:r>
            <w:r>
              <w:rPr>
                <w:rFonts w:ascii="Segoe UI" w:hAnsi="Segoe UI"/>
                <w:color w:val="0C4A6E"/>
                <w:sz w:val="17"/>
              </w:rPr>
              <w:t xml:space="preserve"> establish real-world clinical diagnostic reliability. Because the held-out test partition is drawn from the same deduplicated dataset rather than an independent external clinical cohort, high accuracy reflects internal pattern separation within this specific benchmark. Genuine clinical environments contain continuous symptom severity gradients, overlapping disease phenotypes, patient comorbidities, laboratory diagnostic ambiguities, and noisy patient recall. Performance on real clinical cohorts may differ substantially from the benchmark results. External clinical validation is required to establish real-world diagnostic performance. Output scores generated via </w:t>
            </w:r>
            <w:r>
              <w:rPr>
                <w:rFonts w:ascii="Consolas" w:hAnsi="Consolas"/>
                <w:color w:val="0284C7"/>
                <w:sz w:val="15"/>
              </w:rPr>
              <w:t>predict_proba</w:t>
            </w:r>
            <w:r>
              <w:rPr>
                <w:rFonts w:ascii="Segoe UI" w:hAnsi="Segoe UI"/>
                <w:color w:val="0C4A6E"/>
                <w:sz w:val="17"/>
              </w:rPr>
              <w:t xml:space="preserve"> represent uncalibrated class probability estimates, not formal Bayesian posterior probabilities. TheraLens is strictly an educational research prototype and is not certified as a clinical medical device.</w:t>
            </w:r>
          </w:p>
        </w:tc>
      </w:tr>
    </w:tbl>
    <w:p w14:paraId="251455C9" w14:textId="77777777" w:rsidR="002D7F6C" w:rsidRDefault="002D7F6C">
      <w:pPr>
        <w:spacing w:after="80"/>
      </w:pPr>
    </w:p>
    <w:p w14:paraId="182BC1BC" w14:textId="77777777" w:rsidR="002D7F6C" w:rsidRDefault="00000000">
      <w:pPr>
        <w:keepNext/>
        <w:spacing w:before="180" w:after="60"/>
      </w:pPr>
      <w:r>
        <w:rPr>
          <w:rFonts w:ascii="Segoe UI" w:hAnsi="Segoe UI"/>
          <w:b/>
          <w:color w:val="0F172A"/>
          <w:sz w:val="20"/>
        </w:rPr>
        <w:t>5.2 Epidemiological Forecasting Benchmarks &amp; Time-Series Non-Stationarity</w:t>
      </w:r>
    </w:p>
    <w:p w14:paraId="61B4083C" w14:textId="77777777" w:rsidR="002D7F6C" w:rsidRDefault="00000000">
      <w:pPr>
        <w:spacing w:after="80"/>
      </w:pPr>
      <w:r>
        <w:rPr>
          <w:rFonts w:ascii="Segoe UI" w:hAnsi="Segoe UI"/>
          <w:color w:val="1E293B"/>
          <w:sz w:val="18"/>
        </w:rPr>
        <w:t xml:space="preserve">Surveillance data evaluated across 5,426 longitudinal records detected </w:t>
      </w:r>
      <w:r>
        <w:rPr>
          <w:rFonts w:ascii="Segoe UI" w:hAnsi="Segoe UI"/>
          <w:b/>
          <w:color w:val="1E293B"/>
          <w:sz w:val="18"/>
        </w:rPr>
        <w:t>224 outbreak surge events</w:t>
      </w:r>
      <w:r>
        <w:rPr>
          <w:rFonts w:ascii="Segoe UI" w:hAnsi="Segoe UI"/>
          <w:color w:val="1E293B"/>
          <w:sz w:val="18"/>
        </w:rPr>
        <w:t xml:space="preserve"> (</w:t>
      </w:r>
      <w:r>
        <w:rPr>
          <w:rFonts w:ascii="Cambria Math" w:hAnsi="Cambria Math"/>
          <w:i/>
          <w:color w:val="1E293B"/>
          <w:sz w:val="18"/>
        </w:rPr>
        <w:t>Z ≥ 2.0, cases ≥ 50</w:t>
      </w:r>
      <w:r>
        <w:rPr>
          <w:rFonts w:ascii="Segoe UI" w:hAnsi="Segoe UI"/>
          <w:color w:val="1E293B"/>
          <w:sz w:val="18"/>
        </w:rPr>
        <w:t>). Time-ordered forecasting models evaluated on the 10-year held-out test horizon (2015–2024) produced the following benchmark results:</w:t>
      </w:r>
    </w:p>
    <w:p w14:paraId="52ACD5D0" w14:textId="77777777" w:rsidR="002D7F6C" w:rsidRDefault="00000000">
      <w:pPr>
        <w:keepNext/>
        <w:spacing w:before="120" w:after="40"/>
      </w:pPr>
      <w:r>
        <w:rPr>
          <w:rFonts w:ascii="Segoe UI" w:hAnsi="Segoe UI"/>
          <w:b/>
          <w:color w:val="334155"/>
          <w:sz w:val="18"/>
        </w:rPr>
        <w:lastRenderedPageBreak/>
        <w:t>Table 5.2: Epidemiological Forecasting Benchmark on Measles (2015–2024 Test Window)</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625"/>
        <w:gridCol w:w="1625"/>
        <w:gridCol w:w="1625"/>
        <w:gridCol w:w="1625"/>
        <w:gridCol w:w="1625"/>
      </w:tblGrid>
      <w:tr w:rsidR="00695DB0" w14:paraId="27DF2404" w14:textId="77777777">
        <w:trPr>
          <w:jc w:val="center"/>
        </w:trPr>
        <w:tc>
          <w:tcPr>
            <w:tcW w:w="1625" w:type="dxa"/>
            <w:shd w:val="clear" w:color="auto" w:fill="F1F5F9"/>
            <w:tcMar>
              <w:top w:w="60" w:type="dxa"/>
              <w:left w:w="80" w:type="dxa"/>
              <w:bottom w:w="60" w:type="dxa"/>
              <w:right w:w="80" w:type="dxa"/>
            </w:tcMar>
          </w:tcPr>
          <w:p w14:paraId="4B937B9B" w14:textId="77777777" w:rsidR="00695DB0" w:rsidRDefault="00695DB0">
            <w:pPr>
              <w:spacing w:after="0" w:line="264" w:lineRule="auto"/>
            </w:pPr>
            <w:r>
              <w:rPr>
                <w:rFonts w:ascii="Segoe UI" w:hAnsi="Segoe UI"/>
                <w:b/>
                <w:color w:val="0F172A"/>
                <w:sz w:val="15"/>
              </w:rPr>
              <w:t>Forecasting Model Architecture</w:t>
            </w:r>
          </w:p>
        </w:tc>
        <w:tc>
          <w:tcPr>
            <w:tcW w:w="1625" w:type="dxa"/>
            <w:shd w:val="clear" w:color="auto" w:fill="F1F5F9"/>
            <w:tcMar>
              <w:top w:w="60" w:type="dxa"/>
              <w:left w:w="80" w:type="dxa"/>
              <w:bottom w:w="60" w:type="dxa"/>
              <w:right w:w="80" w:type="dxa"/>
            </w:tcMar>
          </w:tcPr>
          <w:p w14:paraId="73F9CA7D" w14:textId="77777777" w:rsidR="00695DB0" w:rsidRDefault="00695DB0">
            <w:pPr>
              <w:spacing w:after="0" w:line="264" w:lineRule="auto"/>
            </w:pPr>
            <w:r>
              <w:rPr>
                <w:rFonts w:ascii="Segoe UI" w:hAnsi="Segoe UI"/>
                <w:b/>
                <w:color w:val="0F172A"/>
                <w:sz w:val="15"/>
              </w:rPr>
              <w:t>MAE (Cases)</w:t>
            </w:r>
          </w:p>
        </w:tc>
        <w:tc>
          <w:tcPr>
            <w:tcW w:w="1625" w:type="dxa"/>
            <w:shd w:val="clear" w:color="auto" w:fill="F1F5F9"/>
            <w:tcMar>
              <w:top w:w="60" w:type="dxa"/>
              <w:left w:w="80" w:type="dxa"/>
              <w:bottom w:w="60" w:type="dxa"/>
              <w:right w:w="80" w:type="dxa"/>
            </w:tcMar>
          </w:tcPr>
          <w:p w14:paraId="50DA0DCD" w14:textId="77777777" w:rsidR="00695DB0" w:rsidRDefault="00695DB0">
            <w:pPr>
              <w:spacing w:after="0" w:line="264" w:lineRule="auto"/>
            </w:pPr>
            <w:r>
              <w:rPr>
                <w:rFonts w:ascii="Segoe UI" w:hAnsi="Segoe UI"/>
                <w:b/>
                <w:color w:val="0F172A"/>
                <w:sz w:val="15"/>
              </w:rPr>
              <w:t>RMSE (Cases)</w:t>
            </w:r>
          </w:p>
        </w:tc>
        <w:tc>
          <w:tcPr>
            <w:tcW w:w="1625" w:type="dxa"/>
            <w:shd w:val="clear" w:color="auto" w:fill="F1F5F9"/>
            <w:tcMar>
              <w:top w:w="60" w:type="dxa"/>
              <w:left w:w="80" w:type="dxa"/>
              <w:bottom w:w="60" w:type="dxa"/>
              <w:right w:w="80" w:type="dxa"/>
            </w:tcMar>
          </w:tcPr>
          <w:p w14:paraId="58505CFE" w14:textId="77777777" w:rsidR="00695DB0" w:rsidRDefault="00695DB0">
            <w:pPr>
              <w:spacing w:after="0" w:line="264" w:lineRule="auto"/>
            </w:pPr>
            <w:r>
              <w:rPr>
                <w:rFonts w:ascii="Segoe UI" w:hAnsi="Segoe UI"/>
                <w:b/>
                <w:color w:val="0F172A"/>
                <w:sz w:val="15"/>
              </w:rPr>
              <w:t>MAPE (%)</w:t>
            </w:r>
          </w:p>
        </w:tc>
        <w:tc>
          <w:tcPr>
            <w:tcW w:w="1625" w:type="dxa"/>
            <w:shd w:val="clear" w:color="auto" w:fill="F1F5F9"/>
            <w:tcMar>
              <w:top w:w="60" w:type="dxa"/>
              <w:left w:w="80" w:type="dxa"/>
              <w:bottom w:w="60" w:type="dxa"/>
              <w:right w:w="80" w:type="dxa"/>
            </w:tcMar>
          </w:tcPr>
          <w:p w14:paraId="1E0C6F37" w14:textId="77777777" w:rsidR="00695DB0" w:rsidRDefault="00695DB0">
            <w:pPr>
              <w:spacing w:after="0" w:line="264" w:lineRule="auto"/>
            </w:pPr>
            <w:r>
              <w:rPr>
                <w:rFonts w:ascii="Segoe UI" w:hAnsi="Segoe UI"/>
                <w:b/>
                <w:color w:val="0F172A"/>
                <w:sz w:val="15"/>
              </w:rPr>
              <w:t>Ranking</w:t>
            </w:r>
          </w:p>
        </w:tc>
      </w:tr>
      <w:tr w:rsidR="00695DB0" w14:paraId="57E52C19" w14:textId="77777777">
        <w:trPr>
          <w:jc w:val="center"/>
        </w:trPr>
        <w:tc>
          <w:tcPr>
            <w:tcW w:w="1625" w:type="dxa"/>
            <w:shd w:val="clear" w:color="auto" w:fill="F8FAFC"/>
            <w:tcMar>
              <w:top w:w="60" w:type="dxa"/>
              <w:left w:w="80" w:type="dxa"/>
              <w:bottom w:w="60" w:type="dxa"/>
              <w:right w:w="80" w:type="dxa"/>
            </w:tcMar>
          </w:tcPr>
          <w:p w14:paraId="39F30D8F" w14:textId="7C358C51" w:rsidR="00695DB0" w:rsidRDefault="00695DB0">
            <w:pPr>
              <w:spacing w:after="0" w:line="264" w:lineRule="auto"/>
              <w:rPr>
                <w:rFonts w:ascii="Segoe UI" w:hAnsi="Segoe UI"/>
                <w:color w:val="1E293B"/>
                <w:sz w:val="14"/>
              </w:rPr>
            </w:pPr>
            <w:r>
              <w:rPr>
                <w:rFonts w:ascii="Segoe UI" w:hAnsi="Segoe UI"/>
                <w:b/>
                <w:color w:val="1E293B"/>
                <w:sz w:val="14"/>
              </w:rPr>
              <w:t>Naive Persistence Baseline</w:t>
            </w:r>
            <w:r>
              <w:rPr>
                <w:rFonts w:ascii="Segoe UI" w:hAnsi="Segoe UI"/>
                <w:color w:val="1E293B"/>
                <w:sz w:val="14"/>
              </w:rPr>
              <w:t xml:space="preserve"> </w:t>
            </w:r>
          </w:p>
          <w:p w14:paraId="71BCDF3E" w14:textId="77777777" w:rsidR="00695DB0" w:rsidRPr="00695DB0" w:rsidRDefault="00695DB0">
            <w:pPr>
              <w:spacing w:after="0" w:line="264" w:lineRule="auto"/>
              <w:rPr>
                <w:rFonts w:ascii="Segoe UI" w:hAnsi="Segoe UI" w:cs="Segoe UI"/>
                <w:sz w:val="18"/>
                <w:szCs w:val="18"/>
              </w:rPr>
            </w:pPr>
            <m:oMathPara>
              <m:oMath>
                <m:acc>
                  <m:accPr>
                    <m:ctrlPr>
                      <w:rPr>
                        <w:rFonts w:ascii="Cambria Math" w:hAnsi="Cambria Math" w:cs="Segoe UI"/>
                        <w:i/>
                        <w:sz w:val="18"/>
                        <w:szCs w:val="18"/>
                      </w:rPr>
                    </m:ctrlPr>
                  </m:accPr>
                  <m:e/>
                </m:acc>
                <m:sSub>
                  <m:sSubPr>
                    <m:ctrlPr>
                      <w:rPr>
                        <w:rFonts w:ascii="Cambria Math" w:hAnsi="Cambria Math" w:cs="Segoe UI"/>
                        <w:i/>
                        <w:sz w:val="18"/>
                        <w:szCs w:val="18"/>
                      </w:rPr>
                    </m:ctrlPr>
                  </m:sSubPr>
                  <m:e>
                    <m:d>
                      <m:dPr>
                        <m:begChr m:val="{"/>
                        <m:endChr m:val="}"/>
                        <m:ctrlPr>
                          <w:rPr>
                            <w:rFonts w:ascii="Cambria Math" w:hAnsi="Cambria Math" w:cs="Segoe UI"/>
                            <w:i/>
                            <w:sz w:val="18"/>
                            <w:szCs w:val="18"/>
                          </w:rPr>
                        </m:ctrlPr>
                      </m:dPr>
                      <m:e>
                        <m:r>
                          <w:rPr>
                            <w:rFonts w:ascii="Cambria Math" w:hAnsi="Cambria Math" w:cs="Segoe UI"/>
                            <w:sz w:val="18"/>
                            <w:szCs w:val="18"/>
                          </w:rPr>
                          <m:t>y</m:t>
                        </m:r>
                      </m:e>
                    </m:d>
                  </m:e>
                  <m:sub>
                    <m:d>
                      <m:dPr>
                        <m:begChr m:val="{"/>
                        <m:endChr m:val="}"/>
                        <m:ctrlPr>
                          <w:rPr>
                            <w:rFonts w:ascii="Cambria Math" w:hAnsi="Cambria Math" w:cs="Segoe UI"/>
                            <w:i/>
                            <w:sz w:val="18"/>
                            <w:szCs w:val="18"/>
                          </w:rPr>
                        </m:ctrlPr>
                      </m:dPr>
                      <m:e>
                        <m:r>
                          <w:rPr>
                            <w:rFonts w:ascii="Cambria Math" w:hAnsi="Cambria Math" w:cs="Segoe UI"/>
                            <w:sz w:val="18"/>
                            <w:szCs w:val="18"/>
                          </w:rPr>
                          <m:t>t</m:t>
                        </m:r>
                      </m:e>
                      <m:e>
                        <m:r>
                          <w:rPr>
                            <w:rFonts w:ascii="Cambria Math" w:hAnsi="Cambria Math" w:cs="Segoe UI"/>
                            <w:sz w:val="18"/>
                            <w:szCs w:val="18"/>
                          </w:rPr>
                          <m:t>t-1</m:t>
                        </m:r>
                      </m:e>
                    </m:d>
                  </m:sub>
                </m:sSub>
                <m:r>
                  <w:rPr>
                    <w:rFonts w:ascii="Cambria Math" w:hAnsi="Cambria Math" w:cs="Segoe UI"/>
                    <w:sz w:val="18"/>
                    <w:szCs w:val="18"/>
                  </w:rPr>
                  <m:t>=</m:t>
                </m:r>
                <m:sSub>
                  <m:sSubPr>
                    <m:ctrlPr>
                      <w:rPr>
                        <w:rFonts w:ascii="Cambria Math" w:hAnsi="Cambria Math" w:cs="Segoe UI"/>
                        <w:i/>
                        <w:sz w:val="18"/>
                        <w:szCs w:val="18"/>
                      </w:rPr>
                    </m:ctrlPr>
                  </m:sSubPr>
                  <m:e>
                    <m:r>
                      <w:rPr>
                        <w:rFonts w:ascii="Cambria Math" w:hAnsi="Cambria Math" w:cs="Segoe UI"/>
                        <w:sz w:val="18"/>
                        <w:szCs w:val="18"/>
                      </w:rPr>
                      <m:t>y</m:t>
                    </m:r>
                  </m:e>
                  <m:sub>
                    <m:d>
                      <m:dPr>
                        <m:begChr m:val="{"/>
                        <m:endChr m:val="}"/>
                        <m:ctrlPr>
                          <w:rPr>
                            <w:rFonts w:ascii="Cambria Math" w:hAnsi="Cambria Math" w:cs="Segoe UI"/>
                            <w:i/>
                            <w:sz w:val="18"/>
                            <w:szCs w:val="18"/>
                          </w:rPr>
                        </m:ctrlPr>
                      </m:dPr>
                      <m:e>
                        <m:r>
                          <w:rPr>
                            <w:rFonts w:ascii="Cambria Math" w:hAnsi="Cambria Math" w:cs="Segoe UI"/>
                            <w:sz w:val="18"/>
                            <w:szCs w:val="18"/>
                          </w:rPr>
                          <m:t>t-1</m:t>
                        </m:r>
                      </m:e>
                    </m:d>
                  </m:sub>
                </m:sSub>
              </m:oMath>
            </m:oMathPara>
          </w:p>
          <w:p w14:paraId="36758618" w14:textId="1C859886" w:rsidR="00695DB0" w:rsidRPr="00695DB0" w:rsidRDefault="00695DB0">
            <w:pPr>
              <w:spacing w:after="0" w:line="264" w:lineRule="auto"/>
              <w:rPr>
                <w:rFonts w:ascii="Segoe UI" w:hAnsi="Segoe UI"/>
              </w:rPr>
            </w:pPr>
          </w:p>
        </w:tc>
        <w:tc>
          <w:tcPr>
            <w:tcW w:w="1625" w:type="dxa"/>
            <w:shd w:val="clear" w:color="auto" w:fill="F8FAFC"/>
            <w:tcMar>
              <w:top w:w="60" w:type="dxa"/>
              <w:left w:w="80" w:type="dxa"/>
              <w:bottom w:w="60" w:type="dxa"/>
              <w:right w:w="80" w:type="dxa"/>
            </w:tcMar>
          </w:tcPr>
          <w:p w14:paraId="55A61BFC" w14:textId="1D1B96E0" w:rsidR="00695DB0" w:rsidRDefault="00695DB0">
            <w:pPr>
              <w:spacing w:after="0" w:line="264" w:lineRule="auto"/>
            </w:pPr>
            <w:r>
              <w:rPr>
                <w:rFonts w:ascii="Segoe UI" w:hAnsi="Segoe UI"/>
                <w:b/>
                <w:color w:val="1E293B"/>
                <w:sz w:val="14"/>
              </w:rPr>
              <w:t>53,024.60</w:t>
            </w:r>
          </w:p>
        </w:tc>
        <w:tc>
          <w:tcPr>
            <w:tcW w:w="1625" w:type="dxa"/>
            <w:shd w:val="clear" w:color="auto" w:fill="F8FAFC"/>
            <w:tcMar>
              <w:top w:w="60" w:type="dxa"/>
              <w:left w:w="80" w:type="dxa"/>
              <w:bottom w:w="60" w:type="dxa"/>
              <w:right w:w="80" w:type="dxa"/>
            </w:tcMar>
          </w:tcPr>
          <w:p w14:paraId="608C8782" w14:textId="70645524" w:rsidR="00695DB0" w:rsidRDefault="00695DB0">
            <w:pPr>
              <w:spacing w:after="0" w:line="264" w:lineRule="auto"/>
            </w:pPr>
            <w:r>
              <w:rPr>
                <w:rFonts w:ascii="Segoe UI" w:hAnsi="Segoe UI"/>
                <w:b/>
                <w:color w:val="1E293B"/>
                <w:sz w:val="14"/>
              </w:rPr>
              <w:t>67,224.23</w:t>
            </w:r>
          </w:p>
        </w:tc>
        <w:tc>
          <w:tcPr>
            <w:tcW w:w="1625" w:type="dxa"/>
            <w:shd w:val="clear" w:color="auto" w:fill="F8FAFC"/>
            <w:tcMar>
              <w:top w:w="60" w:type="dxa"/>
              <w:left w:w="80" w:type="dxa"/>
              <w:bottom w:w="60" w:type="dxa"/>
              <w:right w:w="80" w:type="dxa"/>
            </w:tcMar>
          </w:tcPr>
          <w:p w14:paraId="0A3774D3" w14:textId="017FD077" w:rsidR="00695DB0" w:rsidRDefault="00695DB0">
            <w:pPr>
              <w:spacing w:after="0" w:line="264" w:lineRule="auto"/>
            </w:pPr>
            <w:r>
              <w:rPr>
                <w:rFonts w:ascii="Segoe UI" w:hAnsi="Segoe UI"/>
                <w:b/>
                <w:color w:val="1E293B"/>
                <w:sz w:val="14"/>
              </w:rPr>
              <w:t>91.95%</w:t>
            </w:r>
          </w:p>
        </w:tc>
        <w:tc>
          <w:tcPr>
            <w:tcW w:w="1625" w:type="dxa"/>
            <w:shd w:val="clear" w:color="auto" w:fill="F8FAFC"/>
            <w:tcMar>
              <w:top w:w="60" w:type="dxa"/>
              <w:left w:w="80" w:type="dxa"/>
              <w:bottom w:w="60" w:type="dxa"/>
              <w:right w:w="80" w:type="dxa"/>
            </w:tcMar>
          </w:tcPr>
          <w:p w14:paraId="0C897A07" w14:textId="58B341D6" w:rsidR="00695DB0" w:rsidRDefault="00695DB0">
            <w:pPr>
              <w:spacing w:after="0" w:line="264" w:lineRule="auto"/>
            </w:pPr>
            <w:r>
              <w:rPr>
                <w:rFonts w:ascii="Segoe UI" w:hAnsi="Segoe UI"/>
                <w:b/>
                <w:color w:val="1E293B"/>
                <w:sz w:val="14"/>
              </w:rPr>
              <w:t>Best Performance on Window</w:t>
            </w:r>
          </w:p>
        </w:tc>
      </w:tr>
      <w:tr w:rsidR="00695DB0" w14:paraId="3FC9C3EB" w14:textId="77777777">
        <w:trPr>
          <w:jc w:val="center"/>
        </w:trPr>
        <w:tc>
          <w:tcPr>
            <w:tcW w:w="1625" w:type="dxa"/>
            <w:tcMar>
              <w:top w:w="60" w:type="dxa"/>
              <w:left w:w="80" w:type="dxa"/>
              <w:bottom w:w="60" w:type="dxa"/>
              <w:right w:w="80" w:type="dxa"/>
            </w:tcMar>
          </w:tcPr>
          <w:p w14:paraId="0DD99CCB" w14:textId="77777777" w:rsidR="00695DB0" w:rsidRDefault="00695DB0">
            <w:pPr>
              <w:spacing w:after="0" w:line="264" w:lineRule="auto"/>
            </w:pPr>
            <w:r>
              <w:rPr>
                <w:rFonts w:ascii="Segoe UI" w:hAnsi="Segoe UI"/>
                <w:b/>
                <w:color w:val="1E293B"/>
                <w:sz w:val="14"/>
              </w:rPr>
              <w:t>3-Year Moving Average Baseline</w:t>
            </w:r>
          </w:p>
        </w:tc>
        <w:tc>
          <w:tcPr>
            <w:tcW w:w="1625" w:type="dxa"/>
            <w:tcMar>
              <w:top w:w="60" w:type="dxa"/>
              <w:left w:w="80" w:type="dxa"/>
              <w:bottom w:w="60" w:type="dxa"/>
              <w:right w:w="80" w:type="dxa"/>
            </w:tcMar>
          </w:tcPr>
          <w:p w14:paraId="7060C5D3" w14:textId="77777777" w:rsidR="00695DB0" w:rsidRDefault="00695DB0">
            <w:pPr>
              <w:spacing w:after="0" w:line="264" w:lineRule="auto"/>
            </w:pPr>
            <w:r>
              <w:rPr>
                <w:rFonts w:ascii="Segoe UI" w:hAnsi="Segoe UI"/>
                <w:color w:val="1E293B"/>
                <w:sz w:val="14"/>
              </w:rPr>
              <w:t>57,401.27</w:t>
            </w:r>
          </w:p>
        </w:tc>
        <w:tc>
          <w:tcPr>
            <w:tcW w:w="1625" w:type="dxa"/>
            <w:tcMar>
              <w:top w:w="60" w:type="dxa"/>
              <w:left w:w="80" w:type="dxa"/>
              <w:bottom w:w="60" w:type="dxa"/>
              <w:right w:w="80" w:type="dxa"/>
            </w:tcMar>
          </w:tcPr>
          <w:p w14:paraId="4B9224B1" w14:textId="77777777" w:rsidR="00695DB0" w:rsidRDefault="00695DB0">
            <w:pPr>
              <w:spacing w:after="0" w:line="264" w:lineRule="auto"/>
            </w:pPr>
            <w:r>
              <w:rPr>
                <w:rFonts w:ascii="Segoe UI" w:hAnsi="Segoe UI"/>
                <w:color w:val="1E293B"/>
                <w:sz w:val="14"/>
              </w:rPr>
              <w:t>70,034.64</w:t>
            </w:r>
          </w:p>
        </w:tc>
        <w:tc>
          <w:tcPr>
            <w:tcW w:w="1625" w:type="dxa"/>
            <w:tcMar>
              <w:top w:w="60" w:type="dxa"/>
              <w:left w:w="80" w:type="dxa"/>
              <w:bottom w:w="60" w:type="dxa"/>
              <w:right w:w="80" w:type="dxa"/>
            </w:tcMar>
          </w:tcPr>
          <w:p w14:paraId="409669A6" w14:textId="77777777" w:rsidR="00695DB0" w:rsidRDefault="00695DB0">
            <w:pPr>
              <w:spacing w:after="0" w:line="264" w:lineRule="auto"/>
            </w:pPr>
            <w:r>
              <w:rPr>
                <w:rFonts w:ascii="Segoe UI" w:hAnsi="Segoe UI"/>
                <w:color w:val="1E293B"/>
                <w:sz w:val="14"/>
              </w:rPr>
              <w:t>105.93%</w:t>
            </w:r>
          </w:p>
        </w:tc>
        <w:tc>
          <w:tcPr>
            <w:tcW w:w="1625" w:type="dxa"/>
            <w:tcMar>
              <w:top w:w="60" w:type="dxa"/>
              <w:left w:w="80" w:type="dxa"/>
              <w:bottom w:w="60" w:type="dxa"/>
              <w:right w:w="80" w:type="dxa"/>
            </w:tcMar>
          </w:tcPr>
          <w:p w14:paraId="655FECDB" w14:textId="77777777" w:rsidR="00695DB0" w:rsidRDefault="00695DB0">
            <w:pPr>
              <w:spacing w:after="0" w:line="264" w:lineRule="auto"/>
            </w:pPr>
            <w:r>
              <w:rPr>
                <w:rFonts w:ascii="Segoe UI" w:hAnsi="Segoe UI"/>
                <w:color w:val="1E293B"/>
                <w:sz w:val="14"/>
              </w:rPr>
              <w:t>Second</w:t>
            </w:r>
          </w:p>
        </w:tc>
      </w:tr>
      <w:tr w:rsidR="00695DB0" w14:paraId="6BE26CBD" w14:textId="77777777">
        <w:trPr>
          <w:jc w:val="center"/>
        </w:trPr>
        <w:tc>
          <w:tcPr>
            <w:tcW w:w="1625" w:type="dxa"/>
            <w:shd w:val="clear" w:color="auto" w:fill="F8FAFC"/>
            <w:tcMar>
              <w:top w:w="60" w:type="dxa"/>
              <w:left w:w="80" w:type="dxa"/>
              <w:bottom w:w="60" w:type="dxa"/>
              <w:right w:w="80" w:type="dxa"/>
            </w:tcMar>
          </w:tcPr>
          <w:p w14:paraId="3A6DD46E" w14:textId="77777777" w:rsidR="00695DB0" w:rsidRDefault="00695DB0">
            <w:pPr>
              <w:spacing w:after="0" w:line="264" w:lineRule="auto"/>
            </w:pPr>
            <w:r>
              <w:rPr>
                <w:rFonts w:ascii="Segoe UI" w:hAnsi="Segoe UI"/>
                <w:b/>
                <w:color w:val="1E293B"/>
                <w:sz w:val="14"/>
              </w:rPr>
              <w:t>Autoregressive Ridge (Lag1 + Lag2 + Trend)</w:t>
            </w:r>
          </w:p>
        </w:tc>
        <w:tc>
          <w:tcPr>
            <w:tcW w:w="1625" w:type="dxa"/>
            <w:shd w:val="clear" w:color="auto" w:fill="F8FAFC"/>
            <w:tcMar>
              <w:top w:w="60" w:type="dxa"/>
              <w:left w:w="80" w:type="dxa"/>
              <w:bottom w:w="60" w:type="dxa"/>
              <w:right w:w="80" w:type="dxa"/>
            </w:tcMar>
          </w:tcPr>
          <w:p w14:paraId="227B536F" w14:textId="77777777" w:rsidR="00695DB0" w:rsidRDefault="00695DB0">
            <w:pPr>
              <w:spacing w:after="0" w:line="264" w:lineRule="auto"/>
            </w:pPr>
            <w:r>
              <w:rPr>
                <w:rFonts w:ascii="Segoe UI" w:hAnsi="Segoe UI"/>
                <w:color w:val="1E293B"/>
                <w:sz w:val="14"/>
              </w:rPr>
              <w:t>155,157.37</w:t>
            </w:r>
          </w:p>
        </w:tc>
        <w:tc>
          <w:tcPr>
            <w:tcW w:w="1625" w:type="dxa"/>
            <w:shd w:val="clear" w:color="auto" w:fill="F8FAFC"/>
            <w:tcMar>
              <w:top w:w="60" w:type="dxa"/>
              <w:left w:w="80" w:type="dxa"/>
              <w:bottom w:w="60" w:type="dxa"/>
              <w:right w:w="80" w:type="dxa"/>
            </w:tcMar>
          </w:tcPr>
          <w:p w14:paraId="703C8A22" w14:textId="77777777" w:rsidR="00695DB0" w:rsidRDefault="00695DB0">
            <w:pPr>
              <w:spacing w:after="0" w:line="264" w:lineRule="auto"/>
            </w:pPr>
            <w:r>
              <w:rPr>
                <w:rFonts w:ascii="Segoe UI" w:hAnsi="Segoe UI"/>
                <w:color w:val="1E293B"/>
                <w:sz w:val="14"/>
              </w:rPr>
              <w:t>172,469.68</w:t>
            </w:r>
          </w:p>
        </w:tc>
        <w:tc>
          <w:tcPr>
            <w:tcW w:w="1625" w:type="dxa"/>
            <w:shd w:val="clear" w:color="auto" w:fill="F8FAFC"/>
            <w:tcMar>
              <w:top w:w="60" w:type="dxa"/>
              <w:left w:w="80" w:type="dxa"/>
              <w:bottom w:w="60" w:type="dxa"/>
              <w:right w:w="80" w:type="dxa"/>
            </w:tcMar>
          </w:tcPr>
          <w:p w14:paraId="5D8C3F1F" w14:textId="77777777" w:rsidR="00695DB0" w:rsidRDefault="00695DB0">
            <w:pPr>
              <w:spacing w:after="0" w:line="264" w:lineRule="auto"/>
            </w:pPr>
            <w:r>
              <w:rPr>
                <w:rFonts w:ascii="Segoe UI" w:hAnsi="Segoe UI"/>
                <w:color w:val="1E293B"/>
                <w:sz w:val="14"/>
              </w:rPr>
              <w:t>240.19%</w:t>
            </w:r>
          </w:p>
        </w:tc>
        <w:tc>
          <w:tcPr>
            <w:tcW w:w="1625" w:type="dxa"/>
            <w:shd w:val="clear" w:color="auto" w:fill="F8FAFC"/>
            <w:tcMar>
              <w:top w:w="60" w:type="dxa"/>
              <w:left w:w="80" w:type="dxa"/>
              <w:bottom w:w="60" w:type="dxa"/>
              <w:right w:w="80" w:type="dxa"/>
            </w:tcMar>
          </w:tcPr>
          <w:p w14:paraId="685E835E" w14:textId="77777777" w:rsidR="00695DB0" w:rsidRDefault="00695DB0">
            <w:pPr>
              <w:spacing w:after="0" w:line="264" w:lineRule="auto"/>
            </w:pPr>
            <w:r>
              <w:rPr>
                <w:rFonts w:ascii="Segoe UI" w:hAnsi="Segoe UI"/>
                <w:color w:val="1E293B"/>
                <w:sz w:val="14"/>
              </w:rPr>
              <w:t>Poorest Performance</w:t>
            </w:r>
          </w:p>
        </w:tc>
      </w:tr>
    </w:tbl>
    <w:p w14:paraId="68729022" w14:textId="77777777" w:rsidR="002D7F6C" w:rsidRDefault="002D7F6C">
      <w:pPr>
        <w:spacing w:after="80"/>
      </w:pPr>
    </w:p>
    <w:p w14:paraId="0E1063C3" w14:textId="77777777" w:rsidR="002D7F6C" w:rsidRDefault="00000000">
      <w:pPr>
        <w:keepNext/>
        <w:spacing w:before="160" w:after="40"/>
        <w:jc w:val="center"/>
      </w:pPr>
      <w:r>
        <w:rPr>
          <w:noProof/>
        </w:rPr>
        <w:drawing>
          <wp:inline distT="0" distB="0" distL="0" distR="0" wp14:anchorId="0ACFDC0A" wp14:editId="633934FC">
            <wp:extent cx="4754880" cy="2377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break_surge_detection.png"/>
                    <pic:cNvPicPr/>
                  </pic:nvPicPr>
                  <pic:blipFill>
                    <a:blip r:embed="rId22"/>
                    <a:stretch>
                      <a:fillRect/>
                    </a:stretch>
                  </pic:blipFill>
                  <pic:spPr>
                    <a:xfrm>
                      <a:off x="0" y="0"/>
                      <a:ext cx="4754880" cy="2377440"/>
                    </a:xfrm>
                    <a:prstGeom prst="rect">
                      <a:avLst/>
                    </a:prstGeom>
                  </pic:spPr>
                </pic:pic>
              </a:graphicData>
            </a:graphic>
          </wp:inline>
        </w:drawing>
      </w:r>
    </w:p>
    <w:p w14:paraId="25CFE989" w14:textId="77777777" w:rsidR="002D7F6C" w:rsidRDefault="00000000">
      <w:pPr>
        <w:spacing w:before="40" w:after="160"/>
        <w:jc w:val="center"/>
      </w:pPr>
      <w:r>
        <w:rPr>
          <w:rFonts w:ascii="Segoe UI" w:hAnsi="Segoe UI"/>
          <w:i/>
          <w:color w:val="64748B"/>
          <w:sz w:val="16"/>
        </w:rPr>
        <w:t>Figure 5.3: Scatter plot of 224 statistically detected outbreak surge anomalies across international surveillance series.</w:t>
      </w:r>
    </w:p>
    <w:p w14:paraId="343F015D" w14:textId="77777777" w:rsidR="002D7F6C" w:rsidRDefault="00000000">
      <w:pPr>
        <w:keepNext/>
        <w:spacing w:before="160" w:after="40"/>
        <w:jc w:val="center"/>
      </w:pPr>
      <w:r>
        <w:rPr>
          <w:noProof/>
        </w:rPr>
        <w:drawing>
          <wp:inline distT="0" distB="0" distL="0" distR="0" wp14:anchorId="24B2A115" wp14:editId="73DA6DEE">
            <wp:extent cx="4754880" cy="285292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ing_model_comparison.png"/>
                    <pic:cNvPicPr/>
                  </pic:nvPicPr>
                  <pic:blipFill>
                    <a:blip r:embed="rId23"/>
                    <a:stretch>
                      <a:fillRect/>
                    </a:stretch>
                  </pic:blipFill>
                  <pic:spPr>
                    <a:xfrm>
                      <a:off x="0" y="0"/>
                      <a:ext cx="4754880" cy="2852928"/>
                    </a:xfrm>
                    <a:prstGeom prst="rect">
                      <a:avLst/>
                    </a:prstGeom>
                  </pic:spPr>
                </pic:pic>
              </a:graphicData>
            </a:graphic>
          </wp:inline>
        </w:drawing>
      </w:r>
    </w:p>
    <w:p w14:paraId="70242965" w14:textId="77777777" w:rsidR="002D7F6C" w:rsidRDefault="00000000">
      <w:pPr>
        <w:spacing w:before="40" w:after="160"/>
        <w:jc w:val="center"/>
      </w:pPr>
      <w:r>
        <w:rPr>
          <w:rFonts w:ascii="Segoe UI" w:hAnsi="Segoe UI"/>
          <w:i/>
          <w:color w:val="64748B"/>
          <w:sz w:val="16"/>
        </w:rPr>
        <w:t>Figure 5.4: Chronological forecasting comparison on the 2015–2024 test horizon illustrating the performance of Naive Persistence.</w:t>
      </w:r>
    </w:p>
    <w:p w14:paraId="3654F503" w14:textId="77777777" w:rsidR="002D7F6C" w:rsidRDefault="00000000">
      <w:pPr>
        <w:keepNext/>
        <w:spacing w:before="120" w:after="40"/>
      </w:pPr>
      <w:r>
        <w:rPr>
          <w:rFonts w:ascii="Segoe UI" w:hAnsi="Segoe UI"/>
          <w:b/>
          <w:color w:val="334155"/>
          <w:sz w:val="18"/>
        </w:rPr>
        <w:t>Methodological Discussion: The Non-Stationarity Challenge</w:t>
      </w:r>
    </w:p>
    <w:p w14:paraId="74484E87" w14:textId="77777777" w:rsidR="002D7F6C" w:rsidRDefault="00000000">
      <w:pPr>
        <w:spacing w:after="80"/>
      </w:pPr>
      <w:r>
        <w:rPr>
          <w:rFonts w:ascii="Segoe UI" w:hAnsi="Segoe UI"/>
          <w:color w:val="1E293B"/>
          <w:sz w:val="18"/>
        </w:rPr>
        <w:t>On this particular 2015–2024 test window, the Naive Persistence baseline (ŷ_{t|t-1} = y_{t-1}):</w:t>
      </w:r>
    </w:p>
    <w:p w14:paraId="4F800B37" w14:textId="77777777" w:rsidR="00A64601" w:rsidRPr="00A64601" w:rsidRDefault="00A64601">
      <w:pPr>
        <w:spacing w:after="80"/>
        <w:rPr>
          <w:color w:val="0284C7"/>
          <w:sz w:val="20"/>
        </w:rPr>
      </w:pPr>
      <m:oMathPara>
        <m:oMath>
          <m:acc>
            <m:accPr>
              <m:ctrlPr>
                <w:rPr>
                  <w:rFonts w:ascii="Cambria Math" w:hAnsi="Cambria Math"/>
                  <w:i/>
                  <w:color w:val="0284C7"/>
                  <w:sz w:val="20"/>
                </w:rPr>
              </m:ctrlPr>
            </m:accPr>
            <m:e/>
          </m:acc>
          <m:sSub>
            <m:sSubPr>
              <m:ctrlPr>
                <w:rPr>
                  <w:rFonts w:ascii="Cambria Math" w:hAnsi="Cambria Math"/>
                  <w:i/>
                  <w:color w:val="0284C7"/>
                  <w:sz w:val="20"/>
                </w:rPr>
              </m:ctrlPr>
            </m:sSubPr>
            <m:e>
              <m:d>
                <m:dPr>
                  <m:begChr m:val="{"/>
                  <m:endChr m:val="}"/>
                  <m:ctrlPr>
                    <w:rPr>
                      <w:rFonts w:ascii="Cambria Math" w:hAnsi="Cambria Math"/>
                      <w:i/>
                      <w:color w:val="0284C7"/>
                      <w:sz w:val="20"/>
                    </w:rPr>
                  </m:ctrlPr>
                </m:dPr>
                <m:e>
                  <m:r>
                    <w:rPr>
                      <w:rFonts w:ascii="Cambria Math" w:hAnsi="Cambria Math"/>
                      <w:color w:val="0284C7"/>
                      <w:sz w:val="20"/>
                    </w:rPr>
                    <m:t>y</m:t>
                  </m:r>
                </m:e>
              </m:d>
            </m:e>
            <m:sub>
              <m:d>
                <m:dPr>
                  <m:begChr m:val="{"/>
                  <m:endChr m:val="}"/>
                  <m:ctrlPr>
                    <w:rPr>
                      <w:rFonts w:ascii="Cambria Math" w:hAnsi="Cambria Math"/>
                      <w:i/>
                      <w:color w:val="0284C7"/>
                      <w:sz w:val="20"/>
                    </w:rPr>
                  </m:ctrlPr>
                </m:dPr>
                <m:e>
                  <m:r>
                    <w:rPr>
                      <w:rFonts w:ascii="Cambria Math" w:hAnsi="Cambria Math"/>
                      <w:color w:val="0284C7"/>
                      <w:sz w:val="20"/>
                    </w:rPr>
                    <m:t>t</m:t>
                  </m:r>
                </m:e>
                <m:e>
                  <m:r>
                    <w:rPr>
                      <w:rFonts w:ascii="Cambria Math" w:hAnsi="Cambria Math"/>
                      <w:color w:val="0284C7"/>
                      <w:sz w:val="20"/>
                    </w:rPr>
                    <m:t>t-1</m:t>
                  </m:r>
                </m:e>
              </m:d>
            </m:sub>
          </m:sSub>
          <m:r>
            <w:rPr>
              <w:rFonts w:ascii="Cambria Math" w:hAnsi="Cambria Math"/>
              <w:color w:val="0284C7"/>
              <w:sz w:val="20"/>
            </w:rPr>
            <m:t>=</m:t>
          </m:r>
          <m:sSub>
            <m:sSubPr>
              <m:ctrlPr>
                <w:rPr>
                  <w:rFonts w:ascii="Cambria Math" w:hAnsi="Cambria Math"/>
                  <w:i/>
                  <w:color w:val="0284C7"/>
                  <w:sz w:val="20"/>
                </w:rPr>
              </m:ctrlPr>
            </m:sSubPr>
            <m:e>
              <m:r>
                <w:rPr>
                  <w:rFonts w:ascii="Cambria Math" w:hAnsi="Cambria Math"/>
                  <w:color w:val="0284C7"/>
                  <w:sz w:val="20"/>
                </w:rPr>
                <m:t>y</m:t>
              </m:r>
            </m:e>
            <m:sub>
              <m:d>
                <m:dPr>
                  <m:begChr m:val="{"/>
                  <m:endChr m:val="}"/>
                  <m:ctrlPr>
                    <w:rPr>
                      <w:rFonts w:ascii="Cambria Math" w:hAnsi="Cambria Math"/>
                      <w:i/>
                      <w:color w:val="0284C7"/>
                      <w:sz w:val="20"/>
                    </w:rPr>
                  </m:ctrlPr>
                </m:dPr>
                <m:e>
                  <m:r>
                    <w:rPr>
                      <w:rFonts w:ascii="Cambria Math" w:hAnsi="Cambria Math"/>
                      <w:color w:val="0284C7"/>
                      <w:sz w:val="20"/>
                    </w:rPr>
                    <m:t>t-1</m:t>
                  </m:r>
                </m:e>
              </m:d>
            </m:sub>
          </m:sSub>
        </m:oMath>
      </m:oMathPara>
    </w:p>
    <w:p w14:paraId="40E7C204" w14:textId="552D8CD1" w:rsidR="002D7F6C" w:rsidRPr="00A64601" w:rsidRDefault="00000000">
      <w:pPr>
        <w:spacing w:after="80"/>
      </w:pPr>
      <w:r>
        <w:rPr>
          <w:rFonts w:ascii="Segoe UI" w:hAnsi="Segoe UI"/>
          <w:color w:val="1E293B"/>
          <w:sz w:val="18"/>
        </w:rPr>
        <w:lastRenderedPageBreak/>
        <w:t xml:space="preserve">outperformed the tested alternatives (3-year moving average and autoregressive Ridge). This empirical result must not be </w:t>
      </w:r>
      <w:r w:rsidR="00F70AF2">
        <w:rPr>
          <w:rFonts w:ascii="Segoe UI" w:hAnsi="Segoe UI"/>
          <w:color w:val="1E293B"/>
          <w:sz w:val="18"/>
        </w:rPr>
        <w:t>generalised</w:t>
      </w:r>
      <w:r>
        <w:rPr>
          <w:rFonts w:ascii="Segoe UI" w:hAnsi="Segoe UI"/>
          <w:color w:val="1E293B"/>
          <w:sz w:val="18"/>
        </w:rPr>
        <w:t xml:space="preserve"> to mean that persistence universally outperforms advanced time-series models across all epidemiological horizons; rather, it highlights the severe non-stationarity of this specific post-2015 global measles surveillance window. Global measles incidence does not follow a stationary autoregressive process; it is governed by sudden exogenous interventions (WHO supplementary immunization activities) and abrupt disruptions (geopolitical conflicts, pandemic vaccination pauses). Attempting to fit linear trend parameters leads to severe over-forecasting, validating our decision to report these empirical limitations transparently. Notably, the prediction for the first test year (2015) correctly accesses the final training observation (2014) because lagging is computed across the continuous multi-decadal series before splitting.</w:t>
      </w:r>
    </w:p>
    <w:p w14:paraId="160AF29D" w14:textId="77777777" w:rsidR="002D7F6C" w:rsidRDefault="00000000">
      <w:pPr>
        <w:keepNext/>
        <w:spacing w:before="180" w:after="60"/>
      </w:pPr>
      <w:r>
        <w:rPr>
          <w:rFonts w:ascii="Segoe UI" w:hAnsi="Segoe UI"/>
          <w:b/>
          <w:color w:val="0F172A"/>
          <w:sz w:val="20"/>
        </w:rPr>
        <w:t>5.3 Therapeutic Candidate Prioritization &amp; Repurposing Hypothesis Framing</w:t>
      </w:r>
    </w:p>
    <w:p w14:paraId="3D0A3EBC" w14:textId="77777777" w:rsidR="002D7F6C" w:rsidRDefault="00000000">
      <w:pPr>
        <w:spacing w:after="80"/>
      </w:pPr>
      <w:r>
        <w:rPr>
          <w:rFonts w:ascii="Segoe UI" w:hAnsi="Segoe UI"/>
          <w:color w:val="1E293B"/>
          <w:sz w:val="18"/>
        </w:rPr>
        <w:t xml:space="preserve">The prioritization engine evaluated 3,636 biological targets and ranked </w:t>
      </w:r>
      <w:r>
        <w:rPr>
          <w:rFonts w:ascii="Segoe UI" w:hAnsi="Segoe UI"/>
          <w:b/>
          <w:color w:val="1E293B"/>
          <w:sz w:val="18"/>
        </w:rPr>
        <w:t>25,650 candidate pairs</w:t>
      </w:r>
      <w:r>
        <w:rPr>
          <w:rFonts w:ascii="Segoe UI" w:hAnsi="Segoe UI"/>
          <w:color w:val="1E293B"/>
          <w:sz w:val="18"/>
        </w:rPr>
        <w:t xml:space="preserve"> across 37 disease indications. Table 5.3 displays the highest-ranked candidates across representative disease categories.</w:t>
      </w:r>
    </w:p>
    <w:p w14:paraId="4D1599FF" w14:textId="77777777" w:rsidR="002D7F6C" w:rsidRDefault="00000000">
      <w:pPr>
        <w:keepNext/>
        <w:spacing w:before="120" w:after="40"/>
      </w:pPr>
      <w:r>
        <w:rPr>
          <w:rFonts w:ascii="Segoe UI" w:hAnsi="Segoe UI"/>
          <w:b/>
          <w:color w:val="334155"/>
          <w:sz w:val="18"/>
        </w:rPr>
        <w:t>Table 5.3: Top Prioritized Therapeutic Candidates Across Representative Diseases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067"/>
        <w:gridCol w:w="1822"/>
        <w:gridCol w:w="1142"/>
        <w:gridCol w:w="948"/>
        <w:gridCol w:w="876"/>
        <w:gridCol w:w="972"/>
        <w:gridCol w:w="934"/>
        <w:gridCol w:w="1140"/>
        <w:gridCol w:w="1008"/>
      </w:tblGrid>
      <w:tr w:rsidR="002D7F6C" w14:paraId="3AD34CC3" w14:textId="77777777">
        <w:trPr>
          <w:jc w:val="center"/>
        </w:trPr>
        <w:tc>
          <w:tcPr>
            <w:tcW w:w="1083" w:type="dxa"/>
            <w:shd w:val="clear" w:color="auto" w:fill="F1F5F9"/>
            <w:tcMar>
              <w:top w:w="60" w:type="dxa"/>
              <w:left w:w="80" w:type="dxa"/>
              <w:bottom w:w="60" w:type="dxa"/>
              <w:right w:w="80" w:type="dxa"/>
            </w:tcMar>
          </w:tcPr>
          <w:p w14:paraId="50C1B476" w14:textId="77777777" w:rsidR="002D7F6C" w:rsidRDefault="00000000">
            <w:pPr>
              <w:spacing w:after="0" w:line="264" w:lineRule="auto"/>
            </w:pPr>
            <w:r>
              <w:rPr>
                <w:rFonts w:ascii="Segoe UI" w:hAnsi="Segoe UI"/>
                <w:b/>
                <w:color w:val="0F172A"/>
                <w:sz w:val="15"/>
              </w:rPr>
              <w:t>Disease Category</w:t>
            </w:r>
          </w:p>
        </w:tc>
        <w:tc>
          <w:tcPr>
            <w:tcW w:w="1083" w:type="dxa"/>
            <w:shd w:val="clear" w:color="auto" w:fill="F1F5F9"/>
            <w:tcMar>
              <w:top w:w="60" w:type="dxa"/>
              <w:left w:w="80" w:type="dxa"/>
              <w:bottom w:w="60" w:type="dxa"/>
              <w:right w:w="80" w:type="dxa"/>
            </w:tcMar>
          </w:tcPr>
          <w:p w14:paraId="3234F121" w14:textId="77777777" w:rsidR="002D7F6C" w:rsidRDefault="00000000">
            <w:pPr>
              <w:spacing w:after="0" w:line="264" w:lineRule="auto"/>
            </w:pPr>
            <w:r>
              <w:rPr>
                <w:rFonts w:ascii="Segoe UI" w:hAnsi="Segoe UI"/>
                <w:b/>
                <w:color w:val="0F172A"/>
                <w:sz w:val="15"/>
              </w:rPr>
              <w:t>Candidate Molecule</w:t>
            </w:r>
          </w:p>
        </w:tc>
        <w:tc>
          <w:tcPr>
            <w:tcW w:w="1083" w:type="dxa"/>
            <w:shd w:val="clear" w:color="auto" w:fill="F1F5F9"/>
            <w:tcMar>
              <w:top w:w="60" w:type="dxa"/>
              <w:left w:w="80" w:type="dxa"/>
              <w:bottom w:w="60" w:type="dxa"/>
              <w:right w:w="80" w:type="dxa"/>
            </w:tcMar>
          </w:tcPr>
          <w:p w14:paraId="341345CC" w14:textId="77777777" w:rsidR="002D7F6C" w:rsidRDefault="00000000">
            <w:pPr>
              <w:spacing w:after="0" w:line="264" w:lineRule="auto"/>
            </w:pPr>
            <w:r>
              <w:rPr>
                <w:rFonts w:ascii="Segoe UI" w:hAnsi="Segoe UI"/>
                <w:b/>
                <w:color w:val="0F172A"/>
                <w:sz w:val="15"/>
              </w:rPr>
              <w:t>ChEMBL ID</w:t>
            </w:r>
          </w:p>
        </w:tc>
        <w:tc>
          <w:tcPr>
            <w:tcW w:w="1083" w:type="dxa"/>
            <w:shd w:val="clear" w:color="auto" w:fill="F1F5F9"/>
            <w:tcMar>
              <w:top w:w="60" w:type="dxa"/>
              <w:left w:w="80" w:type="dxa"/>
              <w:bottom w:w="60" w:type="dxa"/>
              <w:right w:w="80" w:type="dxa"/>
            </w:tcMar>
          </w:tcPr>
          <w:p w14:paraId="62696F89" w14:textId="77777777" w:rsidR="002D7F6C" w:rsidRDefault="00000000">
            <w:pPr>
              <w:spacing w:after="0" w:line="264" w:lineRule="auto"/>
            </w:pPr>
            <w:r>
              <w:rPr>
                <w:rFonts w:ascii="Segoe UI" w:hAnsi="Segoe UI"/>
                <w:b/>
                <w:color w:val="0F172A"/>
                <w:sz w:val="15"/>
              </w:rPr>
              <w:t>Target</w:t>
            </w:r>
          </w:p>
        </w:tc>
        <w:tc>
          <w:tcPr>
            <w:tcW w:w="1083" w:type="dxa"/>
            <w:shd w:val="clear" w:color="auto" w:fill="F1F5F9"/>
            <w:tcMar>
              <w:top w:w="60" w:type="dxa"/>
              <w:left w:w="80" w:type="dxa"/>
              <w:bottom w:w="60" w:type="dxa"/>
              <w:right w:w="80" w:type="dxa"/>
            </w:tcMar>
          </w:tcPr>
          <w:p w14:paraId="01E8BF1A" w14:textId="77777777" w:rsidR="002D7F6C" w:rsidRDefault="00000000">
            <w:pPr>
              <w:spacing w:after="0" w:line="264" w:lineRule="auto"/>
            </w:pPr>
            <w:r>
              <w:rPr>
                <w:rFonts w:ascii="Segoe UI" w:hAnsi="Segoe UI"/>
                <w:b/>
                <w:color w:val="0F172A"/>
                <w:sz w:val="15"/>
              </w:rPr>
              <w:t>Target Assoc</w:t>
            </w:r>
          </w:p>
        </w:tc>
        <w:tc>
          <w:tcPr>
            <w:tcW w:w="1083" w:type="dxa"/>
            <w:shd w:val="clear" w:color="auto" w:fill="F1F5F9"/>
            <w:tcMar>
              <w:top w:w="60" w:type="dxa"/>
              <w:left w:w="80" w:type="dxa"/>
              <w:bottom w:w="60" w:type="dxa"/>
              <w:right w:w="80" w:type="dxa"/>
            </w:tcMar>
          </w:tcPr>
          <w:p w14:paraId="58F8043D" w14:textId="77777777" w:rsidR="002D7F6C" w:rsidRDefault="00000000">
            <w:pPr>
              <w:spacing w:after="0" w:line="264" w:lineRule="auto"/>
            </w:pPr>
            <w:r>
              <w:rPr>
                <w:rFonts w:ascii="Segoe UI" w:hAnsi="Segoe UI"/>
                <w:b/>
                <w:color w:val="0F172A"/>
                <w:sz w:val="15"/>
              </w:rPr>
              <w:t>Median pChEMBL</w:t>
            </w:r>
          </w:p>
        </w:tc>
        <w:tc>
          <w:tcPr>
            <w:tcW w:w="1083" w:type="dxa"/>
            <w:shd w:val="clear" w:color="auto" w:fill="F1F5F9"/>
            <w:tcMar>
              <w:top w:w="60" w:type="dxa"/>
              <w:left w:w="80" w:type="dxa"/>
              <w:bottom w:w="60" w:type="dxa"/>
              <w:right w:w="80" w:type="dxa"/>
            </w:tcMar>
          </w:tcPr>
          <w:p w14:paraId="3DC7700E" w14:textId="77777777" w:rsidR="002D7F6C" w:rsidRDefault="00000000">
            <w:pPr>
              <w:spacing w:after="0" w:line="264" w:lineRule="auto"/>
            </w:pPr>
            <w:r>
              <w:rPr>
                <w:rFonts w:ascii="Segoe UI" w:hAnsi="Segoe UI"/>
                <w:b/>
                <w:color w:val="0F172A"/>
                <w:sz w:val="15"/>
              </w:rPr>
              <w:t>Drug-Likeness</w:t>
            </w:r>
          </w:p>
        </w:tc>
        <w:tc>
          <w:tcPr>
            <w:tcW w:w="1083" w:type="dxa"/>
            <w:shd w:val="clear" w:color="auto" w:fill="F1F5F9"/>
            <w:tcMar>
              <w:top w:w="60" w:type="dxa"/>
              <w:left w:w="80" w:type="dxa"/>
              <w:bottom w:w="60" w:type="dxa"/>
              <w:right w:w="80" w:type="dxa"/>
            </w:tcMar>
          </w:tcPr>
          <w:p w14:paraId="2722960A" w14:textId="77777777" w:rsidR="002D7F6C" w:rsidRDefault="00000000">
            <w:pPr>
              <w:spacing w:after="0" w:line="264" w:lineRule="auto"/>
            </w:pPr>
            <w:r>
              <w:rPr>
                <w:rFonts w:ascii="Segoe UI" w:hAnsi="Segoe UI"/>
                <w:b/>
                <w:color w:val="0F172A"/>
                <w:sz w:val="15"/>
              </w:rPr>
              <w:t>Global Molecule Maturity (`max_phase`)</w:t>
            </w:r>
          </w:p>
        </w:tc>
        <w:tc>
          <w:tcPr>
            <w:tcW w:w="1083" w:type="dxa"/>
            <w:shd w:val="clear" w:color="auto" w:fill="F1F5F9"/>
            <w:tcMar>
              <w:top w:w="60" w:type="dxa"/>
              <w:left w:w="80" w:type="dxa"/>
              <w:bottom w:w="60" w:type="dxa"/>
              <w:right w:w="80" w:type="dxa"/>
            </w:tcMar>
          </w:tcPr>
          <w:p w14:paraId="74E2C603" w14:textId="77777777" w:rsidR="002D7F6C" w:rsidRDefault="00000000">
            <w:pPr>
              <w:spacing w:after="0" w:line="264" w:lineRule="auto"/>
            </w:pPr>
            <w:r>
              <w:rPr>
                <w:rFonts w:ascii="Segoe UI" w:hAnsi="Segoe UI"/>
                <w:b/>
                <w:color w:val="0F172A"/>
                <w:sz w:val="15"/>
              </w:rPr>
              <w:t>Composite Priority Score (CPS)</w:t>
            </w:r>
          </w:p>
        </w:tc>
      </w:tr>
      <w:tr w:rsidR="002D7F6C" w14:paraId="39BFC3C3" w14:textId="77777777">
        <w:trPr>
          <w:jc w:val="center"/>
        </w:trPr>
        <w:tc>
          <w:tcPr>
            <w:tcW w:w="1083" w:type="dxa"/>
            <w:shd w:val="clear" w:color="auto" w:fill="F8FAFC"/>
            <w:tcMar>
              <w:top w:w="60" w:type="dxa"/>
              <w:left w:w="80" w:type="dxa"/>
              <w:bottom w:w="60" w:type="dxa"/>
              <w:right w:w="80" w:type="dxa"/>
            </w:tcMar>
          </w:tcPr>
          <w:p w14:paraId="5734AF6D" w14:textId="77777777" w:rsidR="002D7F6C" w:rsidRDefault="00000000">
            <w:pPr>
              <w:spacing w:after="0" w:line="264" w:lineRule="auto"/>
            </w:pPr>
            <w:r>
              <w:rPr>
                <w:rFonts w:ascii="Segoe UI" w:hAnsi="Segoe UI"/>
                <w:b/>
                <w:color w:val="1E293B"/>
                <w:sz w:val="14"/>
              </w:rPr>
              <w:t>AIDS</w:t>
            </w:r>
          </w:p>
        </w:tc>
        <w:tc>
          <w:tcPr>
            <w:tcW w:w="1083" w:type="dxa"/>
            <w:shd w:val="clear" w:color="auto" w:fill="F8FAFC"/>
            <w:tcMar>
              <w:top w:w="60" w:type="dxa"/>
              <w:left w:w="80" w:type="dxa"/>
              <w:bottom w:w="60" w:type="dxa"/>
              <w:right w:w="80" w:type="dxa"/>
            </w:tcMar>
          </w:tcPr>
          <w:p w14:paraId="1B3AD998" w14:textId="77777777" w:rsidR="002D7F6C" w:rsidRDefault="00000000">
            <w:pPr>
              <w:spacing w:after="0" w:line="264" w:lineRule="auto"/>
            </w:pPr>
            <w:r>
              <w:rPr>
                <w:rFonts w:ascii="Segoe UI" w:hAnsi="Segoe UI"/>
                <w:color w:val="1E293B"/>
                <w:sz w:val="14"/>
              </w:rPr>
              <w:t>MEDROXYPROGESTERONE ACETATE</w:t>
            </w:r>
          </w:p>
        </w:tc>
        <w:tc>
          <w:tcPr>
            <w:tcW w:w="1083" w:type="dxa"/>
            <w:shd w:val="clear" w:color="auto" w:fill="F8FAFC"/>
            <w:tcMar>
              <w:top w:w="60" w:type="dxa"/>
              <w:left w:w="80" w:type="dxa"/>
              <w:bottom w:w="60" w:type="dxa"/>
              <w:right w:w="80" w:type="dxa"/>
            </w:tcMar>
          </w:tcPr>
          <w:p w14:paraId="3BBA4C66" w14:textId="77777777" w:rsidR="002D7F6C" w:rsidRDefault="00000000">
            <w:pPr>
              <w:spacing w:after="0" w:line="264" w:lineRule="auto"/>
            </w:pPr>
            <w:r>
              <w:rPr>
                <w:rFonts w:ascii="Segoe UI" w:hAnsi="Segoe UI"/>
                <w:color w:val="1E293B"/>
                <w:sz w:val="14"/>
              </w:rPr>
              <w:t>CHEMBL413</w:t>
            </w:r>
          </w:p>
        </w:tc>
        <w:tc>
          <w:tcPr>
            <w:tcW w:w="1083" w:type="dxa"/>
            <w:shd w:val="clear" w:color="auto" w:fill="F8FAFC"/>
            <w:tcMar>
              <w:top w:w="60" w:type="dxa"/>
              <w:left w:w="80" w:type="dxa"/>
              <w:bottom w:w="60" w:type="dxa"/>
              <w:right w:w="80" w:type="dxa"/>
            </w:tcMar>
          </w:tcPr>
          <w:p w14:paraId="7511B706" w14:textId="77777777" w:rsidR="002D7F6C" w:rsidRDefault="00000000">
            <w:pPr>
              <w:spacing w:after="0" w:line="264" w:lineRule="auto"/>
            </w:pPr>
            <w:r>
              <w:rPr>
                <w:rFonts w:ascii="Segoe UI" w:hAnsi="Segoe UI"/>
                <w:color w:val="1E293B"/>
                <w:sz w:val="14"/>
              </w:rPr>
              <w:t>AR</w:t>
            </w:r>
          </w:p>
        </w:tc>
        <w:tc>
          <w:tcPr>
            <w:tcW w:w="1083" w:type="dxa"/>
            <w:shd w:val="clear" w:color="auto" w:fill="F8FAFC"/>
            <w:tcMar>
              <w:top w:w="60" w:type="dxa"/>
              <w:left w:w="80" w:type="dxa"/>
              <w:bottom w:w="60" w:type="dxa"/>
              <w:right w:w="80" w:type="dxa"/>
            </w:tcMar>
          </w:tcPr>
          <w:p w14:paraId="43A75671" w14:textId="77777777" w:rsidR="002D7F6C" w:rsidRDefault="00000000">
            <w:pPr>
              <w:spacing w:after="0" w:line="264" w:lineRule="auto"/>
            </w:pPr>
            <w:r>
              <w:rPr>
                <w:rFonts w:ascii="Segoe UI" w:hAnsi="Segoe UI"/>
                <w:color w:val="1E293B"/>
                <w:sz w:val="14"/>
              </w:rPr>
              <w:t>0.7423</w:t>
            </w:r>
          </w:p>
        </w:tc>
        <w:tc>
          <w:tcPr>
            <w:tcW w:w="1083" w:type="dxa"/>
            <w:shd w:val="clear" w:color="auto" w:fill="F8FAFC"/>
            <w:tcMar>
              <w:top w:w="60" w:type="dxa"/>
              <w:left w:w="80" w:type="dxa"/>
              <w:bottom w:w="60" w:type="dxa"/>
              <w:right w:w="80" w:type="dxa"/>
            </w:tcMar>
          </w:tcPr>
          <w:p w14:paraId="05AC113C" w14:textId="77777777" w:rsidR="002D7F6C" w:rsidRDefault="00000000">
            <w:pPr>
              <w:spacing w:after="0" w:line="264" w:lineRule="auto"/>
            </w:pPr>
            <w:r>
              <w:rPr>
                <w:rFonts w:ascii="Segoe UI" w:hAnsi="Segoe UI"/>
                <w:color w:val="1E293B"/>
                <w:sz w:val="14"/>
              </w:rPr>
              <w:t>9.77</w:t>
            </w:r>
          </w:p>
        </w:tc>
        <w:tc>
          <w:tcPr>
            <w:tcW w:w="1083" w:type="dxa"/>
            <w:shd w:val="clear" w:color="auto" w:fill="F8FAFC"/>
            <w:tcMar>
              <w:top w:w="60" w:type="dxa"/>
              <w:left w:w="80" w:type="dxa"/>
              <w:bottom w:w="60" w:type="dxa"/>
              <w:right w:w="80" w:type="dxa"/>
            </w:tcMar>
          </w:tcPr>
          <w:p w14:paraId="351DD8A7" w14:textId="77777777" w:rsidR="002D7F6C" w:rsidRDefault="00000000">
            <w:pPr>
              <w:spacing w:after="0" w:line="264" w:lineRule="auto"/>
            </w:pPr>
            <w:r>
              <w:rPr>
                <w:rFonts w:ascii="Segoe UI" w:hAnsi="Segoe UI"/>
                <w:color w:val="1E293B"/>
                <w:sz w:val="14"/>
              </w:rPr>
              <w:t>1.00</w:t>
            </w:r>
          </w:p>
        </w:tc>
        <w:tc>
          <w:tcPr>
            <w:tcW w:w="1083" w:type="dxa"/>
            <w:shd w:val="clear" w:color="auto" w:fill="F8FAFC"/>
            <w:tcMar>
              <w:top w:w="60" w:type="dxa"/>
              <w:left w:w="80" w:type="dxa"/>
              <w:bottom w:w="60" w:type="dxa"/>
              <w:right w:w="80" w:type="dxa"/>
            </w:tcMar>
          </w:tcPr>
          <w:p w14:paraId="550D5ECD" w14:textId="77777777" w:rsidR="002D7F6C" w:rsidRDefault="00000000">
            <w:pPr>
              <w:spacing w:after="0" w:line="264" w:lineRule="auto"/>
            </w:pPr>
            <w:r>
              <w:rPr>
                <w:rFonts w:ascii="Segoe UI" w:hAnsi="Segoe UI"/>
                <w:color w:val="1E293B"/>
                <w:sz w:val="14"/>
              </w:rPr>
              <w:t>Phase 4 (</w:t>
            </w:r>
            <w:r>
              <w:rPr>
                <w:rFonts w:ascii="Cambria Math" w:hAnsi="Cambria Math"/>
                <w:i/>
                <w:color w:val="1E293B"/>
                <w:sz w:val="14"/>
              </w:rPr>
              <w:t>1.00</w:t>
            </w:r>
            <w:r>
              <w:rPr>
                <w:rFonts w:ascii="Segoe UI" w:hAnsi="Segoe UI"/>
                <w:color w:val="1E293B"/>
                <w:sz w:val="14"/>
              </w:rPr>
              <w:t>)</w:t>
            </w:r>
          </w:p>
        </w:tc>
        <w:tc>
          <w:tcPr>
            <w:tcW w:w="1083" w:type="dxa"/>
            <w:shd w:val="clear" w:color="auto" w:fill="F8FAFC"/>
            <w:tcMar>
              <w:top w:w="60" w:type="dxa"/>
              <w:left w:w="80" w:type="dxa"/>
              <w:bottom w:w="60" w:type="dxa"/>
              <w:right w:w="80" w:type="dxa"/>
            </w:tcMar>
          </w:tcPr>
          <w:p w14:paraId="7CFABA08" w14:textId="77777777" w:rsidR="002D7F6C" w:rsidRDefault="00000000">
            <w:pPr>
              <w:spacing w:after="0" w:line="264" w:lineRule="auto"/>
            </w:pPr>
            <w:r>
              <w:rPr>
                <w:rFonts w:ascii="Segoe UI" w:hAnsi="Segoe UI"/>
                <w:b/>
                <w:color w:val="1E293B"/>
                <w:sz w:val="14"/>
              </w:rPr>
              <w:t>0.7689</w:t>
            </w:r>
          </w:p>
        </w:tc>
      </w:tr>
      <w:tr w:rsidR="002D7F6C" w14:paraId="718AC291" w14:textId="77777777">
        <w:trPr>
          <w:jc w:val="center"/>
        </w:trPr>
        <w:tc>
          <w:tcPr>
            <w:tcW w:w="1083" w:type="dxa"/>
            <w:tcMar>
              <w:top w:w="60" w:type="dxa"/>
              <w:left w:w="80" w:type="dxa"/>
              <w:bottom w:w="60" w:type="dxa"/>
              <w:right w:w="80" w:type="dxa"/>
            </w:tcMar>
          </w:tcPr>
          <w:p w14:paraId="0CC5D740" w14:textId="77777777" w:rsidR="002D7F6C" w:rsidRDefault="00000000">
            <w:pPr>
              <w:spacing w:after="0" w:line="264" w:lineRule="auto"/>
            </w:pPr>
            <w:r>
              <w:rPr>
                <w:rFonts w:ascii="Segoe UI" w:hAnsi="Segoe UI"/>
                <w:b/>
                <w:color w:val="1E293B"/>
                <w:sz w:val="14"/>
              </w:rPr>
              <w:t>Diabetes</w:t>
            </w:r>
          </w:p>
        </w:tc>
        <w:tc>
          <w:tcPr>
            <w:tcW w:w="1083" w:type="dxa"/>
            <w:tcMar>
              <w:top w:w="60" w:type="dxa"/>
              <w:left w:w="80" w:type="dxa"/>
              <w:bottom w:w="60" w:type="dxa"/>
              <w:right w:w="80" w:type="dxa"/>
            </w:tcMar>
          </w:tcPr>
          <w:p w14:paraId="1CDF69B3" w14:textId="77777777" w:rsidR="002D7F6C" w:rsidRDefault="00000000">
            <w:pPr>
              <w:spacing w:after="0" w:line="264" w:lineRule="auto"/>
            </w:pPr>
            <w:r>
              <w:rPr>
                <w:rFonts w:ascii="Segoe UI" w:hAnsi="Segoe UI"/>
                <w:color w:val="1E293B"/>
                <w:sz w:val="14"/>
              </w:rPr>
              <w:t>SITAGLIPTIN</w:t>
            </w:r>
          </w:p>
        </w:tc>
        <w:tc>
          <w:tcPr>
            <w:tcW w:w="1083" w:type="dxa"/>
            <w:tcMar>
              <w:top w:w="60" w:type="dxa"/>
              <w:left w:w="80" w:type="dxa"/>
              <w:bottom w:w="60" w:type="dxa"/>
              <w:right w:w="80" w:type="dxa"/>
            </w:tcMar>
          </w:tcPr>
          <w:p w14:paraId="41E6BB63" w14:textId="77777777" w:rsidR="002D7F6C" w:rsidRDefault="00000000">
            <w:pPr>
              <w:spacing w:after="0" w:line="264" w:lineRule="auto"/>
            </w:pPr>
            <w:r>
              <w:rPr>
                <w:rFonts w:ascii="Segoe UI" w:hAnsi="Segoe UI"/>
                <w:color w:val="1E293B"/>
                <w:sz w:val="14"/>
              </w:rPr>
              <w:t>CHEMBL1422</w:t>
            </w:r>
          </w:p>
        </w:tc>
        <w:tc>
          <w:tcPr>
            <w:tcW w:w="1083" w:type="dxa"/>
            <w:tcMar>
              <w:top w:w="60" w:type="dxa"/>
              <w:left w:w="80" w:type="dxa"/>
              <w:bottom w:w="60" w:type="dxa"/>
              <w:right w:w="80" w:type="dxa"/>
            </w:tcMar>
          </w:tcPr>
          <w:p w14:paraId="4BAFAA1E" w14:textId="77777777" w:rsidR="002D7F6C" w:rsidRDefault="00000000">
            <w:pPr>
              <w:spacing w:after="0" w:line="264" w:lineRule="auto"/>
            </w:pPr>
            <w:r>
              <w:rPr>
                <w:rFonts w:ascii="Segoe UI" w:hAnsi="Segoe UI"/>
                <w:color w:val="1E293B"/>
                <w:sz w:val="14"/>
              </w:rPr>
              <w:t>DPP4</w:t>
            </w:r>
          </w:p>
        </w:tc>
        <w:tc>
          <w:tcPr>
            <w:tcW w:w="1083" w:type="dxa"/>
            <w:tcMar>
              <w:top w:w="60" w:type="dxa"/>
              <w:left w:w="80" w:type="dxa"/>
              <w:bottom w:w="60" w:type="dxa"/>
              <w:right w:w="80" w:type="dxa"/>
            </w:tcMar>
          </w:tcPr>
          <w:p w14:paraId="2D1E22FB" w14:textId="77777777" w:rsidR="002D7F6C" w:rsidRDefault="00000000">
            <w:pPr>
              <w:spacing w:after="0" w:line="264" w:lineRule="auto"/>
            </w:pPr>
            <w:r>
              <w:rPr>
                <w:rFonts w:ascii="Segoe UI" w:hAnsi="Segoe UI"/>
                <w:color w:val="1E293B"/>
                <w:sz w:val="14"/>
              </w:rPr>
              <w:t>0.8841</w:t>
            </w:r>
          </w:p>
        </w:tc>
        <w:tc>
          <w:tcPr>
            <w:tcW w:w="1083" w:type="dxa"/>
            <w:tcMar>
              <w:top w:w="60" w:type="dxa"/>
              <w:left w:w="80" w:type="dxa"/>
              <w:bottom w:w="60" w:type="dxa"/>
              <w:right w:w="80" w:type="dxa"/>
            </w:tcMar>
          </w:tcPr>
          <w:p w14:paraId="7830C81A" w14:textId="77777777" w:rsidR="002D7F6C" w:rsidRDefault="00000000">
            <w:pPr>
              <w:spacing w:after="0" w:line="264" w:lineRule="auto"/>
            </w:pPr>
            <w:r>
              <w:rPr>
                <w:rFonts w:ascii="Segoe UI" w:hAnsi="Segoe UI"/>
                <w:color w:val="1E293B"/>
                <w:sz w:val="14"/>
              </w:rPr>
              <w:t>8.85</w:t>
            </w:r>
          </w:p>
        </w:tc>
        <w:tc>
          <w:tcPr>
            <w:tcW w:w="1083" w:type="dxa"/>
            <w:tcMar>
              <w:top w:w="60" w:type="dxa"/>
              <w:left w:w="80" w:type="dxa"/>
              <w:bottom w:w="60" w:type="dxa"/>
              <w:right w:w="80" w:type="dxa"/>
            </w:tcMar>
          </w:tcPr>
          <w:p w14:paraId="0279943F" w14:textId="77777777" w:rsidR="002D7F6C" w:rsidRDefault="00000000">
            <w:pPr>
              <w:spacing w:after="0" w:line="264" w:lineRule="auto"/>
            </w:pPr>
            <w:r>
              <w:rPr>
                <w:rFonts w:ascii="Segoe UI" w:hAnsi="Segoe UI"/>
                <w:color w:val="1E293B"/>
                <w:sz w:val="14"/>
              </w:rPr>
              <w:t>1.00</w:t>
            </w:r>
          </w:p>
        </w:tc>
        <w:tc>
          <w:tcPr>
            <w:tcW w:w="1083" w:type="dxa"/>
            <w:tcMar>
              <w:top w:w="60" w:type="dxa"/>
              <w:left w:w="80" w:type="dxa"/>
              <w:bottom w:w="60" w:type="dxa"/>
              <w:right w:w="80" w:type="dxa"/>
            </w:tcMar>
          </w:tcPr>
          <w:p w14:paraId="0D38DFAD" w14:textId="77777777" w:rsidR="002D7F6C" w:rsidRDefault="00000000">
            <w:pPr>
              <w:spacing w:after="0" w:line="264" w:lineRule="auto"/>
            </w:pPr>
            <w:r>
              <w:rPr>
                <w:rFonts w:ascii="Segoe UI" w:hAnsi="Segoe UI"/>
                <w:color w:val="1E293B"/>
                <w:sz w:val="14"/>
              </w:rPr>
              <w:t>Phase 4 (</w:t>
            </w:r>
            <w:r>
              <w:rPr>
                <w:rFonts w:ascii="Cambria Math" w:hAnsi="Cambria Math"/>
                <w:i/>
                <w:color w:val="1E293B"/>
                <w:sz w:val="14"/>
              </w:rPr>
              <w:t>1.00</w:t>
            </w:r>
            <w:r>
              <w:rPr>
                <w:rFonts w:ascii="Segoe UI" w:hAnsi="Segoe UI"/>
                <w:color w:val="1E293B"/>
                <w:sz w:val="14"/>
              </w:rPr>
              <w:t>)</w:t>
            </w:r>
          </w:p>
        </w:tc>
        <w:tc>
          <w:tcPr>
            <w:tcW w:w="1083" w:type="dxa"/>
            <w:tcMar>
              <w:top w:w="60" w:type="dxa"/>
              <w:left w:w="80" w:type="dxa"/>
              <w:bottom w:w="60" w:type="dxa"/>
              <w:right w:w="80" w:type="dxa"/>
            </w:tcMar>
          </w:tcPr>
          <w:p w14:paraId="59E99876" w14:textId="77777777" w:rsidR="002D7F6C" w:rsidRDefault="00000000">
            <w:pPr>
              <w:spacing w:after="0" w:line="264" w:lineRule="auto"/>
            </w:pPr>
            <w:r>
              <w:rPr>
                <w:rFonts w:ascii="Segoe UI" w:hAnsi="Segoe UI"/>
                <w:b/>
                <w:color w:val="1E293B"/>
                <w:sz w:val="14"/>
              </w:rPr>
              <w:t>0.7621</w:t>
            </w:r>
          </w:p>
        </w:tc>
      </w:tr>
      <w:tr w:rsidR="002D7F6C" w14:paraId="221C5074" w14:textId="77777777">
        <w:trPr>
          <w:jc w:val="center"/>
        </w:trPr>
        <w:tc>
          <w:tcPr>
            <w:tcW w:w="1083" w:type="dxa"/>
            <w:shd w:val="clear" w:color="auto" w:fill="F8FAFC"/>
            <w:tcMar>
              <w:top w:w="60" w:type="dxa"/>
              <w:left w:w="80" w:type="dxa"/>
              <w:bottom w:w="60" w:type="dxa"/>
              <w:right w:w="80" w:type="dxa"/>
            </w:tcMar>
          </w:tcPr>
          <w:p w14:paraId="7357322E" w14:textId="77777777" w:rsidR="002D7F6C" w:rsidRDefault="00000000">
            <w:pPr>
              <w:spacing w:after="0" w:line="264" w:lineRule="auto"/>
            </w:pPr>
            <w:r>
              <w:rPr>
                <w:rFonts w:ascii="Segoe UI" w:hAnsi="Segoe UI"/>
                <w:b/>
                <w:color w:val="1E293B"/>
                <w:sz w:val="14"/>
              </w:rPr>
              <w:t>Hypertension</w:t>
            </w:r>
          </w:p>
        </w:tc>
        <w:tc>
          <w:tcPr>
            <w:tcW w:w="1083" w:type="dxa"/>
            <w:shd w:val="clear" w:color="auto" w:fill="F8FAFC"/>
            <w:tcMar>
              <w:top w:w="60" w:type="dxa"/>
              <w:left w:w="80" w:type="dxa"/>
              <w:bottom w:w="60" w:type="dxa"/>
              <w:right w:w="80" w:type="dxa"/>
            </w:tcMar>
          </w:tcPr>
          <w:p w14:paraId="732CF223" w14:textId="77777777" w:rsidR="002D7F6C" w:rsidRDefault="00000000">
            <w:pPr>
              <w:spacing w:after="0" w:line="264" w:lineRule="auto"/>
            </w:pPr>
            <w:r>
              <w:rPr>
                <w:rFonts w:ascii="Segoe UI" w:hAnsi="Segoe UI"/>
                <w:color w:val="1E293B"/>
                <w:sz w:val="14"/>
              </w:rPr>
              <w:t>AMLODIPINE</w:t>
            </w:r>
          </w:p>
        </w:tc>
        <w:tc>
          <w:tcPr>
            <w:tcW w:w="1083" w:type="dxa"/>
            <w:shd w:val="clear" w:color="auto" w:fill="F8FAFC"/>
            <w:tcMar>
              <w:top w:w="60" w:type="dxa"/>
              <w:left w:w="80" w:type="dxa"/>
              <w:bottom w:w="60" w:type="dxa"/>
              <w:right w:w="80" w:type="dxa"/>
            </w:tcMar>
          </w:tcPr>
          <w:p w14:paraId="1E522A6B" w14:textId="77777777" w:rsidR="002D7F6C" w:rsidRDefault="00000000">
            <w:pPr>
              <w:spacing w:after="0" w:line="264" w:lineRule="auto"/>
            </w:pPr>
            <w:r>
              <w:rPr>
                <w:rFonts w:ascii="Segoe UI" w:hAnsi="Segoe UI"/>
                <w:color w:val="1E293B"/>
                <w:sz w:val="14"/>
              </w:rPr>
              <w:t>CHEMBL1489</w:t>
            </w:r>
          </w:p>
        </w:tc>
        <w:tc>
          <w:tcPr>
            <w:tcW w:w="1083" w:type="dxa"/>
            <w:shd w:val="clear" w:color="auto" w:fill="F8FAFC"/>
            <w:tcMar>
              <w:top w:w="60" w:type="dxa"/>
              <w:left w:w="80" w:type="dxa"/>
              <w:bottom w:w="60" w:type="dxa"/>
              <w:right w:w="80" w:type="dxa"/>
            </w:tcMar>
          </w:tcPr>
          <w:p w14:paraId="51320E88" w14:textId="77777777" w:rsidR="002D7F6C" w:rsidRDefault="00000000">
            <w:pPr>
              <w:spacing w:after="0" w:line="264" w:lineRule="auto"/>
            </w:pPr>
            <w:r>
              <w:rPr>
                <w:rFonts w:ascii="Segoe UI" w:hAnsi="Segoe UI"/>
                <w:color w:val="1E293B"/>
                <w:sz w:val="14"/>
              </w:rPr>
              <w:t>CACNA1C</w:t>
            </w:r>
          </w:p>
        </w:tc>
        <w:tc>
          <w:tcPr>
            <w:tcW w:w="1083" w:type="dxa"/>
            <w:shd w:val="clear" w:color="auto" w:fill="F8FAFC"/>
            <w:tcMar>
              <w:top w:w="60" w:type="dxa"/>
              <w:left w:w="80" w:type="dxa"/>
              <w:bottom w:w="60" w:type="dxa"/>
              <w:right w:w="80" w:type="dxa"/>
            </w:tcMar>
          </w:tcPr>
          <w:p w14:paraId="08645213" w14:textId="77777777" w:rsidR="002D7F6C" w:rsidRDefault="00000000">
            <w:pPr>
              <w:spacing w:after="0" w:line="264" w:lineRule="auto"/>
            </w:pPr>
            <w:r>
              <w:rPr>
                <w:rFonts w:ascii="Segoe UI" w:hAnsi="Segoe UI"/>
                <w:color w:val="1E293B"/>
                <w:sz w:val="14"/>
              </w:rPr>
              <w:t>0.8210</w:t>
            </w:r>
          </w:p>
        </w:tc>
        <w:tc>
          <w:tcPr>
            <w:tcW w:w="1083" w:type="dxa"/>
            <w:shd w:val="clear" w:color="auto" w:fill="F8FAFC"/>
            <w:tcMar>
              <w:top w:w="60" w:type="dxa"/>
              <w:left w:w="80" w:type="dxa"/>
              <w:bottom w:w="60" w:type="dxa"/>
              <w:right w:w="80" w:type="dxa"/>
            </w:tcMar>
          </w:tcPr>
          <w:p w14:paraId="0BAD4E24" w14:textId="77777777" w:rsidR="002D7F6C" w:rsidRDefault="00000000">
            <w:pPr>
              <w:spacing w:after="0" w:line="264" w:lineRule="auto"/>
            </w:pPr>
            <w:r>
              <w:rPr>
                <w:rFonts w:ascii="Segoe UI" w:hAnsi="Segoe UI"/>
                <w:color w:val="1E293B"/>
                <w:sz w:val="14"/>
              </w:rPr>
              <w:t>9.10</w:t>
            </w:r>
          </w:p>
        </w:tc>
        <w:tc>
          <w:tcPr>
            <w:tcW w:w="1083" w:type="dxa"/>
            <w:shd w:val="clear" w:color="auto" w:fill="F8FAFC"/>
            <w:tcMar>
              <w:top w:w="60" w:type="dxa"/>
              <w:left w:w="80" w:type="dxa"/>
              <w:bottom w:w="60" w:type="dxa"/>
              <w:right w:w="80" w:type="dxa"/>
            </w:tcMar>
          </w:tcPr>
          <w:p w14:paraId="129B6724" w14:textId="77777777" w:rsidR="002D7F6C" w:rsidRDefault="00000000">
            <w:pPr>
              <w:spacing w:after="0" w:line="264" w:lineRule="auto"/>
            </w:pPr>
            <w:r>
              <w:rPr>
                <w:rFonts w:ascii="Segoe UI" w:hAnsi="Segoe UI"/>
                <w:color w:val="1E293B"/>
                <w:sz w:val="14"/>
              </w:rPr>
              <w:t>1.00</w:t>
            </w:r>
          </w:p>
        </w:tc>
        <w:tc>
          <w:tcPr>
            <w:tcW w:w="1083" w:type="dxa"/>
            <w:shd w:val="clear" w:color="auto" w:fill="F8FAFC"/>
            <w:tcMar>
              <w:top w:w="60" w:type="dxa"/>
              <w:left w:w="80" w:type="dxa"/>
              <w:bottom w:w="60" w:type="dxa"/>
              <w:right w:w="80" w:type="dxa"/>
            </w:tcMar>
          </w:tcPr>
          <w:p w14:paraId="6ED07C0F" w14:textId="77777777" w:rsidR="002D7F6C" w:rsidRDefault="00000000">
            <w:pPr>
              <w:spacing w:after="0" w:line="264" w:lineRule="auto"/>
            </w:pPr>
            <w:r>
              <w:rPr>
                <w:rFonts w:ascii="Segoe UI" w:hAnsi="Segoe UI"/>
                <w:color w:val="1E293B"/>
                <w:sz w:val="14"/>
              </w:rPr>
              <w:t>Phase 4 (</w:t>
            </w:r>
            <w:r>
              <w:rPr>
                <w:rFonts w:ascii="Cambria Math" w:hAnsi="Cambria Math"/>
                <w:i/>
                <w:color w:val="1E293B"/>
                <w:sz w:val="14"/>
              </w:rPr>
              <w:t>1.00</w:t>
            </w:r>
            <w:r>
              <w:rPr>
                <w:rFonts w:ascii="Segoe UI" w:hAnsi="Segoe UI"/>
                <w:color w:val="1E293B"/>
                <w:sz w:val="14"/>
              </w:rPr>
              <w:t>)</w:t>
            </w:r>
          </w:p>
        </w:tc>
        <w:tc>
          <w:tcPr>
            <w:tcW w:w="1083" w:type="dxa"/>
            <w:shd w:val="clear" w:color="auto" w:fill="F8FAFC"/>
            <w:tcMar>
              <w:top w:w="60" w:type="dxa"/>
              <w:left w:w="80" w:type="dxa"/>
              <w:bottom w:w="60" w:type="dxa"/>
              <w:right w:w="80" w:type="dxa"/>
            </w:tcMar>
          </w:tcPr>
          <w:p w14:paraId="4F343D31" w14:textId="77777777" w:rsidR="002D7F6C" w:rsidRDefault="00000000">
            <w:pPr>
              <w:spacing w:after="0" w:line="264" w:lineRule="auto"/>
            </w:pPr>
            <w:r>
              <w:rPr>
                <w:rFonts w:ascii="Segoe UI" w:hAnsi="Segoe UI"/>
                <w:b/>
                <w:color w:val="1E293B"/>
                <w:sz w:val="14"/>
              </w:rPr>
              <w:t>0.7554</w:t>
            </w:r>
          </w:p>
        </w:tc>
      </w:tr>
      <w:tr w:rsidR="002D7F6C" w14:paraId="7E66DB43" w14:textId="77777777">
        <w:trPr>
          <w:jc w:val="center"/>
        </w:trPr>
        <w:tc>
          <w:tcPr>
            <w:tcW w:w="1083" w:type="dxa"/>
            <w:tcMar>
              <w:top w:w="60" w:type="dxa"/>
              <w:left w:w="80" w:type="dxa"/>
              <w:bottom w:w="60" w:type="dxa"/>
              <w:right w:w="80" w:type="dxa"/>
            </w:tcMar>
          </w:tcPr>
          <w:p w14:paraId="334728D7" w14:textId="77777777" w:rsidR="002D7F6C" w:rsidRDefault="00000000">
            <w:pPr>
              <w:spacing w:after="0" w:line="264" w:lineRule="auto"/>
            </w:pPr>
            <w:r>
              <w:rPr>
                <w:rFonts w:ascii="Segoe UI" w:hAnsi="Segoe UI"/>
                <w:b/>
                <w:color w:val="1E293B"/>
                <w:sz w:val="14"/>
              </w:rPr>
              <w:t>Malaria</w:t>
            </w:r>
          </w:p>
        </w:tc>
        <w:tc>
          <w:tcPr>
            <w:tcW w:w="1083" w:type="dxa"/>
            <w:tcMar>
              <w:top w:w="60" w:type="dxa"/>
              <w:left w:w="80" w:type="dxa"/>
              <w:bottom w:w="60" w:type="dxa"/>
              <w:right w:w="80" w:type="dxa"/>
            </w:tcMar>
          </w:tcPr>
          <w:p w14:paraId="4BF68A82" w14:textId="77777777" w:rsidR="002D7F6C" w:rsidRDefault="00000000">
            <w:pPr>
              <w:spacing w:after="0" w:line="264" w:lineRule="auto"/>
            </w:pPr>
            <w:r>
              <w:rPr>
                <w:rFonts w:ascii="Segoe UI" w:hAnsi="Segoe UI"/>
                <w:color w:val="1E293B"/>
                <w:sz w:val="14"/>
              </w:rPr>
              <w:t>ATOVAQUONE</w:t>
            </w:r>
          </w:p>
        </w:tc>
        <w:tc>
          <w:tcPr>
            <w:tcW w:w="1083" w:type="dxa"/>
            <w:tcMar>
              <w:top w:w="60" w:type="dxa"/>
              <w:left w:w="80" w:type="dxa"/>
              <w:bottom w:w="60" w:type="dxa"/>
              <w:right w:w="80" w:type="dxa"/>
            </w:tcMar>
          </w:tcPr>
          <w:p w14:paraId="4C2C853A" w14:textId="77777777" w:rsidR="002D7F6C" w:rsidRDefault="00000000">
            <w:pPr>
              <w:spacing w:after="0" w:line="264" w:lineRule="auto"/>
            </w:pPr>
            <w:r>
              <w:rPr>
                <w:rFonts w:ascii="Segoe UI" w:hAnsi="Segoe UI"/>
                <w:color w:val="1E293B"/>
                <w:sz w:val="14"/>
              </w:rPr>
              <w:t>CHEMBL1137</w:t>
            </w:r>
          </w:p>
        </w:tc>
        <w:tc>
          <w:tcPr>
            <w:tcW w:w="1083" w:type="dxa"/>
            <w:tcMar>
              <w:top w:w="60" w:type="dxa"/>
              <w:left w:w="80" w:type="dxa"/>
              <w:bottom w:w="60" w:type="dxa"/>
              <w:right w:w="80" w:type="dxa"/>
            </w:tcMar>
          </w:tcPr>
          <w:p w14:paraId="62FFE067" w14:textId="77777777" w:rsidR="002D7F6C" w:rsidRDefault="00000000">
            <w:pPr>
              <w:spacing w:after="0" w:line="264" w:lineRule="auto"/>
            </w:pPr>
            <w:r>
              <w:rPr>
                <w:rFonts w:ascii="Segoe UI" w:hAnsi="Segoe UI"/>
                <w:color w:val="1E293B"/>
                <w:sz w:val="14"/>
              </w:rPr>
              <w:t>CYTB</w:t>
            </w:r>
          </w:p>
        </w:tc>
        <w:tc>
          <w:tcPr>
            <w:tcW w:w="1083" w:type="dxa"/>
            <w:tcMar>
              <w:top w:w="60" w:type="dxa"/>
              <w:left w:w="80" w:type="dxa"/>
              <w:bottom w:w="60" w:type="dxa"/>
              <w:right w:w="80" w:type="dxa"/>
            </w:tcMar>
          </w:tcPr>
          <w:p w14:paraId="0D50C38F" w14:textId="77777777" w:rsidR="002D7F6C" w:rsidRDefault="00000000">
            <w:pPr>
              <w:spacing w:after="0" w:line="264" w:lineRule="auto"/>
            </w:pPr>
            <w:r>
              <w:rPr>
                <w:rFonts w:ascii="Segoe UI" w:hAnsi="Segoe UI"/>
                <w:color w:val="1E293B"/>
                <w:sz w:val="14"/>
              </w:rPr>
              <w:t>0.7915</w:t>
            </w:r>
          </w:p>
        </w:tc>
        <w:tc>
          <w:tcPr>
            <w:tcW w:w="1083" w:type="dxa"/>
            <w:tcMar>
              <w:top w:w="60" w:type="dxa"/>
              <w:left w:w="80" w:type="dxa"/>
              <w:bottom w:w="60" w:type="dxa"/>
              <w:right w:w="80" w:type="dxa"/>
            </w:tcMar>
          </w:tcPr>
          <w:p w14:paraId="6E6B0D41" w14:textId="77777777" w:rsidR="002D7F6C" w:rsidRDefault="00000000">
            <w:pPr>
              <w:spacing w:after="0" w:line="264" w:lineRule="auto"/>
            </w:pPr>
            <w:r>
              <w:rPr>
                <w:rFonts w:ascii="Segoe UI" w:hAnsi="Segoe UI"/>
                <w:color w:val="1E293B"/>
                <w:sz w:val="14"/>
              </w:rPr>
              <w:t>8.90</w:t>
            </w:r>
          </w:p>
        </w:tc>
        <w:tc>
          <w:tcPr>
            <w:tcW w:w="1083" w:type="dxa"/>
            <w:tcMar>
              <w:top w:w="60" w:type="dxa"/>
              <w:left w:w="80" w:type="dxa"/>
              <w:bottom w:w="60" w:type="dxa"/>
              <w:right w:w="80" w:type="dxa"/>
            </w:tcMar>
          </w:tcPr>
          <w:p w14:paraId="1BE85B52" w14:textId="77777777" w:rsidR="002D7F6C" w:rsidRDefault="00000000">
            <w:pPr>
              <w:spacing w:after="0" w:line="264" w:lineRule="auto"/>
            </w:pPr>
            <w:r>
              <w:rPr>
                <w:rFonts w:ascii="Segoe UI" w:hAnsi="Segoe UI"/>
                <w:color w:val="1E293B"/>
                <w:sz w:val="14"/>
              </w:rPr>
              <w:t>1.00</w:t>
            </w:r>
          </w:p>
        </w:tc>
        <w:tc>
          <w:tcPr>
            <w:tcW w:w="1083" w:type="dxa"/>
            <w:tcMar>
              <w:top w:w="60" w:type="dxa"/>
              <w:left w:w="80" w:type="dxa"/>
              <w:bottom w:w="60" w:type="dxa"/>
              <w:right w:w="80" w:type="dxa"/>
            </w:tcMar>
          </w:tcPr>
          <w:p w14:paraId="3C041110" w14:textId="77777777" w:rsidR="002D7F6C" w:rsidRDefault="00000000">
            <w:pPr>
              <w:spacing w:after="0" w:line="264" w:lineRule="auto"/>
            </w:pPr>
            <w:r>
              <w:rPr>
                <w:rFonts w:ascii="Segoe UI" w:hAnsi="Segoe UI"/>
                <w:color w:val="1E293B"/>
                <w:sz w:val="14"/>
              </w:rPr>
              <w:t>Phase 4 (</w:t>
            </w:r>
            <w:r>
              <w:rPr>
                <w:rFonts w:ascii="Cambria Math" w:hAnsi="Cambria Math"/>
                <w:i/>
                <w:color w:val="1E293B"/>
                <w:sz w:val="14"/>
              </w:rPr>
              <w:t>1.00</w:t>
            </w:r>
            <w:r>
              <w:rPr>
                <w:rFonts w:ascii="Segoe UI" w:hAnsi="Segoe UI"/>
                <w:color w:val="1E293B"/>
                <w:sz w:val="14"/>
              </w:rPr>
              <w:t>)</w:t>
            </w:r>
          </w:p>
        </w:tc>
        <w:tc>
          <w:tcPr>
            <w:tcW w:w="1083" w:type="dxa"/>
            <w:tcMar>
              <w:top w:w="60" w:type="dxa"/>
              <w:left w:w="80" w:type="dxa"/>
              <w:bottom w:w="60" w:type="dxa"/>
              <w:right w:w="80" w:type="dxa"/>
            </w:tcMar>
          </w:tcPr>
          <w:p w14:paraId="030F561A" w14:textId="77777777" w:rsidR="002D7F6C" w:rsidRDefault="00000000">
            <w:pPr>
              <w:spacing w:after="0" w:line="264" w:lineRule="auto"/>
            </w:pPr>
            <w:r>
              <w:rPr>
                <w:rFonts w:ascii="Segoe UI" w:hAnsi="Segoe UI"/>
                <w:b/>
                <w:color w:val="1E293B"/>
                <w:sz w:val="14"/>
              </w:rPr>
              <w:t>0.7431</w:t>
            </w:r>
          </w:p>
        </w:tc>
      </w:tr>
      <w:tr w:rsidR="002D7F6C" w14:paraId="4A839A08" w14:textId="77777777">
        <w:trPr>
          <w:jc w:val="center"/>
        </w:trPr>
        <w:tc>
          <w:tcPr>
            <w:tcW w:w="1083" w:type="dxa"/>
            <w:shd w:val="clear" w:color="auto" w:fill="F8FAFC"/>
            <w:tcMar>
              <w:top w:w="60" w:type="dxa"/>
              <w:left w:w="80" w:type="dxa"/>
              <w:bottom w:w="60" w:type="dxa"/>
              <w:right w:w="80" w:type="dxa"/>
            </w:tcMar>
          </w:tcPr>
          <w:p w14:paraId="4AF6A5E8" w14:textId="77777777" w:rsidR="002D7F6C" w:rsidRDefault="00000000">
            <w:pPr>
              <w:spacing w:after="0" w:line="264" w:lineRule="auto"/>
            </w:pPr>
            <w:r>
              <w:rPr>
                <w:rFonts w:ascii="Segoe UI" w:hAnsi="Segoe UI"/>
                <w:b/>
                <w:color w:val="1E293B"/>
                <w:sz w:val="14"/>
              </w:rPr>
              <w:t>Tuberculosis</w:t>
            </w:r>
          </w:p>
        </w:tc>
        <w:tc>
          <w:tcPr>
            <w:tcW w:w="1083" w:type="dxa"/>
            <w:shd w:val="clear" w:color="auto" w:fill="F8FAFC"/>
            <w:tcMar>
              <w:top w:w="60" w:type="dxa"/>
              <w:left w:w="80" w:type="dxa"/>
              <w:bottom w:w="60" w:type="dxa"/>
              <w:right w:w="80" w:type="dxa"/>
            </w:tcMar>
          </w:tcPr>
          <w:p w14:paraId="73479CE7" w14:textId="77777777" w:rsidR="002D7F6C" w:rsidRDefault="00000000">
            <w:pPr>
              <w:spacing w:after="0" w:line="264" w:lineRule="auto"/>
            </w:pPr>
            <w:r>
              <w:rPr>
                <w:rFonts w:ascii="Segoe UI" w:hAnsi="Segoe UI"/>
                <w:color w:val="1E293B"/>
                <w:sz w:val="14"/>
              </w:rPr>
              <w:t>RIFAMPICIN</w:t>
            </w:r>
          </w:p>
        </w:tc>
        <w:tc>
          <w:tcPr>
            <w:tcW w:w="1083" w:type="dxa"/>
            <w:shd w:val="clear" w:color="auto" w:fill="F8FAFC"/>
            <w:tcMar>
              <w:top w:w="60" w:type="dxa"/>
              <w:left w:w="80" w:type="dxa"/>
              <w:bottom w:w="60" w:type="dxa"/>
              <w:right w:w="80" w:type="dxa"/>
            </w:tcMar>
          </w:tcPr>
          <w:p w14:paraId="1D5B5224" w14:textId="77777777" w:rsidR="002D7F6C" w:rsidRDefault="00000000">
            <w:pPr>
              <w:spacing w:after="0" w:line="264" w:lineRule="auto"/>
            </w:pPr>
            <w:r>
              <w:rPr>
                <w:rFonts w:ascii="Segoe UI" w:hAnsi="Segoe UI"/>
                <w:color w:val="1E293B"/>
                <w:sz w:val="14"/>
              </w:rPr>
              <w:t>CHEMBL374478</w:t>
            </w:r>
          </w:p>
        </w:tc>
        <w:tc>
          <w:tcPr>
            <w:tcW w:w="1083" w:type="dxa"/>
            <w:shd w:val="clear" w:color="auto" w:fill="F8FAFC"/>
            <w:tcMar>
              <w:top w:w="60" w:type="dxa"/>
              <w:left w:w="80" w:type="dxa"/>
              <w:bottom w:w="60" w:type="dxa"/>
              <w:right w:w="80" w:type="dxa"/>
            </w:tcMar>
          </w:tcPr>
          <w:p w14:paraId="536AEB3F" w14:textId="77777777" w:rsidR="002D7F6C" w:rsidRDefault="00000000">
            <w:pPr>
              <w:spacing w:after="0" w:line="264" w:lineRule="auto"/>
            </w:pPr>
            <w:r>
              <w:rPr>
                <w:rFonts w:ascii="Segoe UI" w:hAnsi="Segoe UI"/>
                <w:color w:val="1E293B"/>
                <w:sz w:val="14"/>
              </w:rPr>
              <w:t>RPOB</w:t>
            </w:r>
          </w:p>
        </w:tc>
        <w:tc>
          <w:tcPr>
            <w:tcW w:w="1083" w:type="dxa"/>
            <w:shd w:val="clear" w:color="auto" w:fill="F8FAFC"/>
            <w:tcMar>
              <w:top w:w="60" w:type="dxa"/>
              <w:left w:w="80" w:type="dxa"/>
              <w:bottom w:w="60" w:type="dxa"/>
              <w:right w:w="80" w:type="dxa"/>
            </w:tcMar>
          </w:tcPr>
          <w:p w14:paraId="47CFA441" w14:textId="77777777" w:rsidR="002D7F6C" w:rsidRDefault="00000000">
            <w:pPr>
              <w:spacing w:after="0" w:line="264" w:lineRule="auto"/>
            </w:pPr>
            <w:r>
              <w:rPr>
                <w:rFonts w:ascii="Segoe UI" w:hAnsi="Segoe UI"/>
                <w:color w:val="1E293B"/>
                <w:sz w:val="14"/>
              </w:rPr>
              <w:t>0.8510</w:t>
            </w:r>
          </w:p>
        </w:tc>
        <w:tc>
          <w:tcPr>
            <w:tcW w:w="1083" w:type="dxa"/>
            <w:shd w:val="clear" w:color="auto" w:fill="F8FAFC"/>
            <w:tcMar>
              <w:top w:w="60" w:type="dxa"/>
              <w:left w:w="80" w:type="dxa"/>
              <w:bottom w:w="60" w:type="dxa"/>
              <w:right w:w="80" w:type="dxa"/>
            </w:tcMar>
          </w:tcPr>
          <w:p w14:paraId="03DD3FB0" w14:textId="77777777" w:rsidR="002D7F6C" w:rsidRDefault="00000000">
            <w:pPr>
              <w:spacing w:after="0" w:line="264" w:lineRule="auto"/>
            </w:pPr>
            <w:r>
              <w:rPr>
                <w:rFonts w:ascii="Segoe UI" w:hAnsi="Segoe UI"/>
                <w:color w:val="1E293B"/>
                <w:sz w:val="14"/>
              </w:rPr>
              <w:t>8.20</w:t>
            </w:r>
          </w:p>
        </w:tc>
        <w:tc>
          <w:tcPr>
            <w:tcW w:w="1083" w:type="dxa"/>
            <w:shd w:val="clear" w:color="auto" w:fill="F8FAFC"/>
            <w:tcMar>
              <w:top w:w="60" w:type="dxa"/>
              <w:left w:w="80" w:type="dxa"/>
              <w:bottom w:w="60" w:type="dxa"/>
              <w:right w:w="80" w:type="dxa"/>
            </w:tcMar>
          </w:tcPr>
          <w:p w14:paraId="59E0EFE5" w14:textId="77777777" w:rsidR="002D7F6C" w:rsidRDefault="00000000">
            <w:pPr>
              <w:spacing w:after="0" w:line="264" w:lineRule="auto"/>
            </w:pPr>
            <w:r>
              <w:rPr>
                <w:rFonts w:ascii="Segoe UI" w:hAnsi="Segoe UI"/>
                <w:color w:val="1E293B"/>
                <w:sz w:val="14"/>
              </w:rPr>
              <w:t>0.80</w:t>
            </w:r>
          </w:p>
        </w:tc>
        <w:tc>
          <w:tcPr>
            <w:tcW w:w="1083" w:type="dxa"/>
            <w:shd w:val="clear" w:color="auto" w:fill="F8FAFC"/>
            <w:tcMar>
              <w:top w:w="60" w:type="dxa"/>
              <w:left w:w="80" w:type="dxa"/>
              <w:bottom w:w="60" w:type="dxa"/>
              <w:right w:w="80" w:type="dxa"/>
            </w:tcMar>
          </w:tcPr>
          <w:p w14:paraId="255FFD6F" w14:textId="77777777" w:rsidR="002D7F6C" w:rsidRDefault="00000000">
            <w:pPr>
              <w:spacing w:after="0" w:line="264" w:lineRule="auto"/>
            </w:pPr>
            <w:r>
              <w:rPr>
                <w:rFonts w:ascii="Segoe UI" w:hAnsi="Segoe UI"/>
                <w:color w:val="1E293B"/>
                <w:sz w:val="14"/>
              </w:rPr>
              <w:t>Phase 4 (</w:t>
            </w:r>
            <w:r>
              <w:rPr>
                <w:rFonts w:ascii="Cambria Math" w:hAnsi="Cambria Math"/>
                <w:i/>
                <w:color w:val="1E293B"/>
                <w:sz w:val="14"/>
              </w:rPr>
              <w:t>1.00</w:t>
            </w:r>
            <w:r>
              <w:rPr>
                <w:rFonts w:ascii="Segoe UI" w:hAnsi="Segoe UI"/>
                <w:color w:val="1E293B"/>
                <w:sz w:val="14"/>
              </w:rPr>
              <w:t>)</w:t>
            </w:r>
          </w:p>
        </w:tc>
        <w:tc>
          <w:tcPr>
            <w:tcW w:w="1083" w:type="dxa"/>
            <w:shd w:val="clear" w:color="auto" w:fill="F8FAFC"/>
            <w:tcMar>
              <w:top w:w="60" w:type="dxa"/>
              <w:left w:w="80" w:type="dxa"/>
              <w:bottom w:w="60" w:type="dxa"/>
              <w:right w:w="80" w:type="dxa"/>
            </w:tcMar>
          </w:tcPr>
          <w:p w14:paraId="6E8A4B9C" w14:textId="77777777" w:rsidR="002D7F6C" w:rsidRDefault="00000000">
            <w:pPr>
              <w:spacing w:after="0" w:line="264" w:lineRule="auto"/>
            </w:pPr>
            <w:r>
              <w:rPr>
                <w:rFonts w:ascii="Segoe UI" w:hAnsi="Segoe UI"/>
                <w:b/>
                <w:color w:val="1E293B"/>
                <w:sz w:val="14"/>
              </w:rPr>
              <w:t>0.7336</w:t>
            </w:r>
          </w:p>
        </w:tc>
      </w:tr>
    </w:tbl>
    <w:p w14:paraId="35B8F036" w14:textId="77777777" w:rsidR="002D7F6C" w:rsidRDefault="002D7F6C">
      <w:pPr>
        <w:spacing w:after="80"/>
      </w:pPr>
    </w:p>
    <w:p w14:paraId="12E41027" w14:textId="77777777" w:rsidR="002D7F6C" w:rsidRDefault="00000000">
      <w:pPr>
        <w:keepNext/>
        <w:spacing w:before="160" w:after="40"/>
        <w:jc w:val="center"/>
      </w:pPr>
      <w:r>
        <w:rPr>
          <w:noProof/>
        </w:rPr>
        <w:drawing>
          <wp:inline distT="0" distB="0" distL="0" distR="0" wp14:anchorId="1DB8325B" wp14:editId="3E70A04E">
            <wp:extent cx="4754880" cy="27736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andidate_scores.png"/>
                    <pic:cNvPicPr/>
                  </pic:nvPicPr>
                  <pic:blipFill>
                    <a:blip r:embed="rId24"/>
                    <a:stretch>
                      <a:fillRect/>
                    </a:stretch>
                  </pic:blipFill>
                  <pic:spPr>
                    <a:xfrm>
                      <a:off x="0" y="0"/>
                      <a:ext cx="4754880" cy="2773680"/>
                    </a:xfrm>
                    <a:prstGeom prst="rect">
                      <a:avLst/>
                    </a:prstGeom>
                  </pic:spPr>
                </pic:pic>
              </a:graphicData>
            </a:graphic>
          </wp:inline>
        </w:drawing>
      </w:r>
    </w:p>
    <w:p w14:paraId="524C550D" w14:textId="77777777" w:rsidR="002D7F6C" w:rsidRDefault="00000000">
      <w:pPr>
        <w:spacing w:before="40" w:after="160"/>
        <w:jc w:val="center"/>
      </w:pPr>
      <w:r>
        <w:rPr>
          <w:rFonts w:ascii="Segoe UI" w:hAnsi="Segoe UI"/>
          <w:i/>
          <w:color w:val="64748B"/>
          <w:sz w:val="16"/>
        </w:rPr>
        <w:t>Figure 5.5: Highest-ranked candidate molecules across representative disease indications.</w:t>
      </w:r>
    </w:p>
    <w:p w14:paraId="5567A5FE" w14:textId="77777777" w:rsidR="002D7F6C" w:rsidRDefault="00000000">
      <w:pPr>
        <w:keepNext/>
        <w:spacing w:before="160" w:after="40"/>
        <w:jc w:val="center"/>
      </w:pPr>
      <w:r>
        <w:rPr>
          <w:noProof/>
        </w:rPr>
        <w:lastRenderedPageBreak/>
        <w:drawing>
          <wp:inline distT="0" distB="0" distL="0" distR="0" wp14:anchorId="01C2A29C" wp14:editId="22E4FF15">
            <wp:extent cx="4754880" cy="27736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component_breakdown.png"/>
                    <pic:cNvPicPr/>
                  </pic:nvPicPr>
                  <pic:blipFill>
                    <a:blip r:embed="rId25"/>
                    <a:stretch>
                      <a:fillRect/>
                    </a:stretch>
                  </pic:blipFill>
                  <pic:spPr>
                    <a:xfrm>
                      <a:off x="0" y="0"/>
                      <a:ext cx="4754880" cy="2773680"/>
                    </a:xfrm>
                    <a:prstGeom prst="rect">
                      <a:avLst/>
                    </a:prstGeom>
                  </pic:spPr>
                </pic:pic>
              </a:graphicData>
            </a:graphic>
          </wp:inline>
        </w:drawing>
      </w:r>
    </w:p>
    <w:p w14:paraId="0457EC0D" w14:textId="77777777" w:rsidR="002D7F6C" w:rsidRDefault="00000000">
      <w:pPr>
        <w:spacing w:before="40" w:after="160"/>
        <w:jc w:val="center"/>
      </w:pPr>
      <w:r>
        <w:rPr>
          <w:rFonts w:ascii="Segoe UI" w:hAnsi="Segoe UI"/>
          <w:i/>
          <w:color w:val="64748B"/>
          <w:sz w:val="16"/>
        </w:rPr>
        <w:t>Figure 5.6: Transparent additive score decomposition showing relative contributions of target evidence, potency, drug-likeness, and maturity.</w:t>
      </w:r>
    </w:p>
    <w:p w14:paraId="3C075BFB" w14:textId="77777777" w:rsidR="002D7F6C" w:rsidRDefault="00000000">
      <w:pPr>
        <w:keepNext/>
        <w:spacing w:before="120" w:after="40"/>
      </w:pPr>
      <w:r>
        <w:rPr>
          <w:rFonts w:ascii="Segoe UI" w:hAnsi="Segoe UI"/>
          <w:b/>
          <w:color w:val="334155"/>
          <w:sz w:val="18"/>
        </w:rPr>
        <w:t>Framing: Computational Hypotheses vs. Approved Treatments</w:t>
      </w:r>
    </w:p>
    <w:p w14:paraId="01607AF0" w14:textId="2E7AC743" w:rsidR="002D7F6C" w:rsidRDefault="00000000">
      <w:pPr>
        <w:spacing w:after="80"/>
      </w:pPr>
      <w:r>
        <w:rPr>
          <w:rFonts w:ascii="Segoe UI" w:hAnsi="Segoe UI"/>
          <w:color w:val="1E293B"/>
          <w:sz w:val="18"/>
        </w:rPr>
        <w:t xml:space="preserve">All candidates prioritized by the Composite Priority Score represent </w:t>
      </w:r>
      <w:r>
        <w:rPr>
          <w:rFonts w:ascii="Segoe UI" w:hAnsi="Segoe UI"/>
          <w:b/>
          <w:color w:val="1E293B"/>
          <w:sz w:val="18"/>
        </w:rPr>
        <w:t>exploratory in-silico computational research hypotheses</w:t>
      </w:r>
      <w:r>
        <w:rPr>
          <w:rFonts w:ascii="Segoe UI" w:hAnsi="Segoe UI"/>
          <w:color w:val="1E293B"/>
          <w:sz w:val="18"/>
        </w:rPr>
        <w:t xml:space="preserve"> for laboratory follow-up, </w:t>
      </w:r>
      <w:r>
        <w:rPr>
          <w:rFonts w:ascii="Segoe UI" w:hAnsi="Segoe UI"/>
          <w:b/>
          <w:color w:val="1E293B"/>
          <w:sz w:val="18"/>
        </w:rPr>
        <w:t>not verified clinical treatments or indication-specific safety evidence</w:t>
      </w:r>
      <w:r>
        <w:rPr>
          <w:rFonts w:ascii="Segoe UI" w:hAnsi="Segoe UI"/>
          <w:color w:val="1E293B"/>
          <w:sz w:val="18"/>
        </w:rPr>
        <w:t>. Specifically, the ranking of Medroxyprogesterone Acetate for AIDS (</w:t>
      </w:r>
      <w:r>
        <w:rPr>
          <w:rFonts w:ascii="Cambria Math" w:hAnsi="Cambria Math"/>
          <w:i/>
          <w:color w:val="1E293B"/>
          <w:sz w:val="18"/>
        </w:rPr>
        <w:t>CPS = 0.7689</w:t>
      </w:r>
      <w:r>
        <w:rPr>
          <w:rFonts w:ascii="Segoe UI" w:hAnsi="Segoe UI"/>
          <w:color w:val="1E293B"/>
          <w:sz w:val="18"/>
        </w:rPr>
        <w:t xml:space="preserve">) is a heuristic computational output arising from strong </w:t>
      </w:r>
      <w:r w:rsidR="00F70AF2">
        <w:rPr>
          <w:rFonts w:ascii="Segoe UI" w:hAnsi="Segoe UI"/>
          <w:color w:val="1E293B"/>
          <w:sz w:val="18"/>
        </w:rPr>
        <w:t>in vitro</w:t>
      </w:r>
      <w:r>
        <w:rPr>
          <w:rFonts w:ascii="Segoe UI" w:hAnsi="Segoe UI"/>
          <w:color w:val="1E293B"/>
          <w:sz w:val="18"/>
        </w:rPr>
        <w:t xml:space="preserve"> binding to the human Androgen Receptor (AR, </w:t>
      </w:r>
      <w:r>
        <w:rPr>
          <w:rFonts w:ascii="Cambria Math" w:hAnsi="Cambria Math"/>
          <w:i/>
          <w:color w:val="1E293B"/>
          <w:sz w:val="18"/>
        </w:rPr>
        <w:t>pChEMBL = 9.77</w:t>
      </w:r>
      <w:r>
        <w:rPr>
          <w:rFonts w:ascii="Segoe UI" w:hAnsi="Segoe UI"/>
          <w:color w:val="1E293B"/>
          <w:sz w:val="18"/>
        </w:rPr>
        <w:t>) and a global molecule development score (</w:t>
      </w:r>
      <w:r>
        <w:rPr>
          <w:rFonts w:ascii="Cambria Math" w:hAnsi="Cambria Math"/>
          <w:i/>
          <w:color w:val="1E293B"/>
          <w:sz w:val="18"/>
        </w:rPr>
        <w:t>S_evidence = 1.0</w:t>
      </w:r>
      <w:r>
        <w:rPr>
          <w:rFonts w:ascii="Segoe UI" w:hAnsi="Segoe UI"/>
          <w:color w:val="1E293B"/>
          <w:sz w:val="18"/>
        </w:rPr>
        <w:t xml:space="preserve">) reflecting its FDA approval in unrelated gynecological and contraceptive indications. This global Phase 4 maturity does NOT establish therapeutic efficacy, clinical safety, or regulatory approval for HIV/AIDS. High composite scores reflect computational repurposing hypotheses warranting biological scrutiny, never clinical prescription or treatment validity. Furthermore, </w:t>
      </w:r>
      <w:r>
        <w:rPr>
          <w:rFonts w:ascii="Consolas" w:hAnsi="Consolas"/>
          <w:color w:val="0284C7"/>
          <w:sz w:val="16"/>
        </w:rPr>
        <w:t>max_phase</w:t>
      </w:r>
      <w:r>
        <w:rPr>
          <w:rFonts w:ascii="Segoe UI" w:hAnsi="Segoe UI"/>
          <w:color w:val="1E293B"/>
          <w:sz w:val="18"/>
        </w:rPr>
        <w:t xml:space="preserve"> represents global molecule-level development maturity across any recorded indication worldwide, not disease-specific regulatory approval.</w:t>
      </w:r>
    </w:p>
    <w:p w14:paraId="6D58F8FD" w14:textId="77777777" w:rsidR="002D7F6C" w:rsidRDefault="00000000">
      <w:pPr>
        <w:keepNext/>
        <w:spacing w:before="180" w:after="60"/>
      </w:pPr>
      <w:r>
        <w:rPr>
          <w:rFonts w:ascii="Segoe UI" w:hAnsi="Segoe UI"/>
          <w:b/>
          <w:color w:val="0F172A"/>
          <w:sz w:val="20"/>
        </w:rPr>
        <w:t>5.4 Regulatory Timeline Audit &amp; Cartesian Expansion Disambiguation</w:t>
      </w:r>
    </w:p>
    <w:p w14:paraId="0954FDC5" w14:textId="34C53902" w:rsidR="002D7F6C" w:rsidRDefault="00000000">
      <w:pPr>
        <w:spacing w:after="80"/>
      </w:pPr>
      <w:r>
        <w:rPr>
          <w:rFonts w:ascii="Segoe UI" w:hAnsi="Segoe UI"/>
          <w:color w:val="1E293B"/>
          <w:sz w:val="18"/>
        </w:rPr>
        <w:t>Processing the 114 MB master timeline dataset (</w:t>
      </w:r>
      <w:r>
        <w:rPr>
          <w:rFonts w:ascii="Consolas" w:hAnsi="Consolas"/>
          <w:color w:val="0284C7"/>
          <w:sz w:val="16"/>
        </w:rPr>
        <w:t>therapeutic_development_timeline.csv</w:t>
      </w:r>
      <w:r>
        <w:rPr>
          <w:rFonts w:ascii="Segoe UI" w:hAnsi="Segoe UI"/>
          <w:color w:val="1E293B"/>
          <w:sz w:val="18"/>
        </w:rPr>
        <w:t xml:space="preserve">) yielded the regulatory classification audit </w:t>
      </w:r>
      <w:r w:rsidR="00F70AF2">
        <w:rPr>
          <w:rFonts w:ascii="Segoe UI" w:hAnsi="Segoe UI"/>
          <w:color w:val="1E293B"/>
          <w:sz w:val="18"/>
        </w:rPr>
        <w:t>summarised</w:t>
      </w:r>
      <w:r>
        <w:rPr>
          <w:rFonts w:ascii="Segoe UI" w:hAnsi="Segoe UI"/>
          <w:color w:val="1E293B"/>
          <w:sz w:val="18"/>
        </w:rPr>
        <w:t xml:space="preserve"> in Table 5.4.</w:t>
      </w:r>
    </w:p>
    <w:p w14:paraId="1C983753" w14:textId="77777777" w:rsidR="002D7F6C" w:rsidRDefault="00000000">
      <w:pPr>
        <w:keepNext/>
        <w:spacing w:before="120" w:after="40"/>
      </w:pPr>
      <w:r>
        <w:rPr>
          <w:rFonts w:ascii="Segoe UI" w:hAnsi="Segoe UI"/>
          <w:b/>
          <w:color w:val="334155"/>
          <w:sz w:val="18"/>
        </w:rPr>
        <w:t>Table 5.4: Master Regulatory Timeline Evidence Classification Breakdown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437"/>
        <w:gridCol w:w="2437"/>
        <w:gridCol w:w="2437"/>
        <w:gridCol w:w="2437"/>
      </w:tblGrid>
      <w:tr w:rsidR="002D7F6C" w14:paraId="4F1FC6B1" w14:textId="77777777">
        <w:trPr>
          <w:jc w:val="center"/>
        </w:trPr>
        <w:tc>
          <w:tcPr>
            <w:tcW w:w="2437" w:type="dxa"/>
            <w:shd w:val="clear" w:color="auto" w:fill="F1F5F9"/>
            <w:tcMar>
              <w:top w:w="60" w:type="dxa"/>
              <w:left w:w="80" w:type="dxa"/>
              <w:bottom w:w="60" w:type="dxa"/>
              <w:right w:w="80" w:type="dxa"/>
            </w:tcMar>
          </w:tcPr>
          <w:p w14:paraId="168F2CF1" w14:textId="77777777" w:rsidR="002D7F6C" w:rsidRDefault="00000000">
            <w:pPr>
              <w:spacing w:after="0" w:line="264" w:lineRule="auto"/>
            </w:pPr>
            <w:r>
              <w:rPr>
                <w:rFonts w:ascii="Segoe UI" w:hAnsi="Segoe UI"/>
                <w:b/>
                <w:color w:val="0F172A"/>
                <w:sz w:val="15"/>
              </w:rPr>
              <w:t>Evidence Category</w:t>
            </w:r>
          </w:p>
        </w:tc>
        <w:tc>
          <w:tcPr>
            <w:tcW w:w="2437" w:type="dxa"/>
            <w:shd w:val="clear" w:color="auto" w:fill="F1F5F9"/>
            <w:tcMar>
              <w:top w:w="60" w:type="dxa"/>
              <w:left w:w="80" w:type="dxa"/>
              <w:bottom w:w="60" w:type="dxa"/>
              <w:right w:w="80" w:type="dxa"/>
            </w:tcMar>
          </w:tcPr>
          <w:p w14:paraId="0DBBDF76" w14:textId="77777777" w:rsidR="002D7F6C" w:rsidRDefault="00000000">
            <w:pPr>
              <w:spacing w:after="0" w:line="264" w:lineRule="auto"/>
            </w:pPr>
            <w:r>
              <w:rPr>
                <w:rFonts w:ascii="Segoe UI" w:hAnsi="Segoe UI"/>
                <w:b/>
                <w:color w:val="0F172A"/>
                <w:sz w:val="15"/>
              </w:rPr>
              <w:t>Master Join Rows</w:t>
            </w:r>
          </w:p>
        </w:tc>
        <w:tc>
          <w:tcPr>
            <w:tcW w:w="2437" w:type="dxa"/>
            <w:shd w:val="clear" w:color="auto" w:fill="F1F5F9"/>
            <w:tcMar>
              <w:top w:w="60" w:type="dxa"/>
              <w:left w:w="80" w:type="dxa"/>
              <w:bottom w:w="60" w:type="dxa"/>
              <w:right w:w="80" w:type="dxa"/>
            </w:tcMar>
          </w:tcPr>
          <w:p w14:paraId="7B787766" w14:textId="77777777" w:rsidR="002D7F6C" w:rsidRDefault="00000000">
            <w:pPr>
              <w:spacing w:after="0" w:line="264" w:lineRule="auto"/>
            </w:pPr>
            <w:r>
              <w:rPr>
                <w:rFonts w:ascii="Segoe UI" w:hAnsi="Segoe UI"/>
                <w:b/>
                <w:color w:val="0F172A"/>
                <w:sz w:val="15"/>
              </w:rPr>
              <w:t>Percentage of Total</w:t>
            </w:r>
          </w:p>
        </w:tc>
        <w:tc>
          <w:tcPr>
            <w:tcW w:w="2437" w:type="dxa"/>
            <w:shd w:val="clear" w:color="auto" w:fill="F1F5F9"/>
            <w:tcMar>
              <w:top w:w="60" w:type="dxa"/>
              <w:left w:w="80" w:type="dxa"/>
              <w:bottom w:w="60" w:type="dxa"/>
              <w:right w:w="80" w:type="dxa"/>
            </w:tcMar>
          </w:tcPr>
          <w:p w14:paraId="57897379" w14:textId="77777777" w:rsidR="002D7F6C" w:rsidRDefault="00000000">
            <w:pPr>
              <w:spacing w:after="0" w:line="264" w:lineRule="auto"/>
            </w:pPr>
            <w:r>
              <w:rPr>
                <w:rFonts w:ascii="Segoe UI" w:hAnsi="Segoe UI"/>
                <w:b/>
                <w:color w:val="0F172A"/>
                <w:sz w:val="15"/>
              </w:rPr>
              <w:t>Regulatory Definition &amp; Meaning</w:t>
            </w:r>
          </w:p>
        </w:tc>
      </w:tr>
      <w:tr w:rsidR="002D7F6C" w14:paraId="583EB313" w14:textId="77777777">
        <w:trPr>
          <w:jc w:val="center"/>
        </w:trPr>
        <w:tc>
          <w:tcPr>
            <w:tcW w:w="2437" w:type="dxa"/>
            <w:shd w:val="clear" w:color="auto" w:fill="F8FAFC"/>
            <w:tcMar>
              <w:top w:w="60" w:type="dxa"/>
              <w:left w:w="80" w:type="dxa"/>
              <w:bottom w:w="60" w:type="dxa"/>
              <w:right w:w="80" w:type="dxa"/>
            </w:tcMar>
          </w:tcPr>
          <w:p w14:paraId="1116570F" w14:textId="77777777" w:rsidR="002D7F6C" w:rsidRDefault="00000000">
            <w:pPr>
              <w:spacing w:after="0" w:line="264" w:lineRule="auto"/>
            </w:pPr>
            <w:r>
              <w:rPr>
                <w:rFonts w:ascii="Segoe UI" w:hAnsi="Segoe UI"/>
                <w:b/>
                <w:color w:val="1E293B"/>
                <w:sz w:val="14"/>
              </w:rPr>
              <w:t>FDA-approved molecule with a ChEMBL Phase 4 record</w:t>
            </w:r>
          </w:p>
        </w:tc>
        <w:tc>
          <w:tcPr>
            <w:tcW w:w="2437" w:type="dxa"/>
            <w:shd w:val="clear" w:color="auto" w:fill="F8FAFC"/>
            <w:tcMar>
              <w:top w:w="60" w:type="dxa"/>
              <w:left w:w="80" w:type="dxa"/>
              <w:bottom w:w="60" w:type="dxa"/>
              <w:right w:w="80" w:type="dxa"/>
            </w:tcMar>
          </w:tcPr>
          <w:p w14:paraId="21169D5D" w14:textId="77777777" w:rsidR="002D7F6C" w:rsidRDefault="00000000">
            <w:pPr>
              <w:spacing w:after="0" w:line="264" w:lineRule="auto"/>
            </w:pPr>
            <w:r>
              <w:rPr>
                <w:rFonts w:ascii="Segoe UI" w:hAnsi="Segoe UI"/>
                <w:b/>
                <w:color w:val="1E293B"/>
                <w:sz w:val="14"/>
              </w:rPr>
              <w:t>72,277</w:t>
            </w:r>
          </w:p>
        </w:tc>
        <w:tc>
          <w:tcPr>
            <w:tcW w:w="2437" w:type="dxa"/>
            <w:shd w:val="clear" w:color="auto" w:fill="F8FAFC"/>
            <w:tcMar>
              <w:top w:w="60" w:type="dxa"/>
              <w:left w:w="80" w:type="dxa"/>
              <w:bottom w:w="60" w:type="dxa"/>
              <w:right w:w="80" w:type="dxa"/>
            </w:tcMar>
          </w:tcPr>
          <w:p w14:paraId="7B9FB420" w14:textId="77777777" w:rsidR="002D7F6C" w:rsidRDefault="00000000">
            <w:pPr>
              <w:spacing w:after="0" w:line="264" w:lineRule="auto"/>
            </w:pPr>
            <w:r>
              <w:rPr>
                <w:rFonts w:ascii="Segoe UI" w:hAnsi="Segoe UI"/>
                <w:b/>
                <w:color w:val="1E293B"/>
                <w:sz w:val="14"/>
              </w:rPr>
              <w:t>13.02%</w:t>
            </w:r>
          </w:p>
        </w:tc>
        <w:tc>
          <w:tcPr>
            <w:tcW w:w="2437" w:type="dxa"/>
            <w:shd w:val="clear" w:color="auto" w:fill="F8FAFC"/>
            <w:tcMar>
              <w:top w:w="60" w:type="dxa"/>
              <w:left w:w="80" w:type="dxa"/>
              <w:bottom w:w="60" w:type="dxa"/>
              <w:right w:w="80" w:type="dxa"/>
            </w:tcMar>
          </w:tcPr>
          <w:p w14:paraId="38CE2A6F" w14:textId="77777777" w:rsidR="002D7F6C" w:rsidRDefault="00000000">
            <w:pPr>
              <w:spacing w:after="0" w:line="264" w:lineRule="auto"/>
            </w:pPr>
            <w:r>
              <w:rPr>
                <w:rFonts w:ascii="Segoe UI" w:hAnsi="Segoe UI"/>
                <w:color w:val="1E293B"/>
                <w:sz w:val="14"/>
              </w:rPr>
              <w:t>Drug has historical FDA marketing approval AND Phase 4 indication in ChEMBL; joined formulation/indication rows, not unique clinical trials or indication-specific approvals.</w:t>
            </w:r>
          </w:p>
        </w:tc>
      </w:tr>
      <w:tr w:rsidR="002D7F6C" w14:paraId="20CC95A1" w14:textId="77777777">
        <w:trPr>
          <w:jc w:val="center"/>
        </w:trPr>
        <w:tc>
          <w:tcPr>
            <w:tcW w:w="2437" w:type="dxa"/>
            <w:tcMar>
              <w:top w:w="60" w:type="dxa"/>
              <w:left w:w="80" w:type="dxa"/>
              <w:bottom w:w="60" w:type="dxa"/>
              <w:right w:w="80" w:type="dxa"/>
            </w:tcMar>
          </w:tcPr>
          <w:p w14:paraId="7868B611" w14:textId="77777777" w:rsidR="002D7F6C" w:rsidRDefault="00000000">
            <w:pPr>
              <w:spacing w:after="0" w:line="264" w:lineRule="auto"/>
            </w:pPr>
            <w:r>
              <w:rPr>
                <w:rFonts w:ascii="Segoe UI" w:hAnsi="Segoe UI"/>
                <w:b/>
                <w:color w:val="1E293B"/>
                <w:sz w:val="14"/>
              </w:rPr>
              <w:t>Investigational Indication Records (Phase 1–3)</w:t>
            </w:r>
          </w:p>
        </w:tc>
        <w:tc>
          <w:tcPr>
            <w:tcW w:w="2437" w:type="dxa"/>
            <w:tcMar>
              <w:top w:w="60" w:type="dxa"/>
              <w:left w:w="80" w:type="dxa"/>
              <w:bottom w:w="60" w:type="dxa"/>
              <w:right w:w="80" w:type="dxa"/>
            </w:tcMar>
          </w:tcPr>
          <w:p w14:paraId="641DA608" w14:textId="77777777" w:rsidR="002D7F6C" w:rsidRDefault="00000000">
            <w:pPr>
              <w:spacing w:after="0" w:line="264" w:lineRule="auto"/>
            </w:pPr>
            <w:r>
              <w:rPr>
                <w:rFonts w:ascii="Segoe UI" w:hAnsi="Segoe UI"/>
                <w:b/>
                <w:color w:val="1E293B"/>
                <w:sz w:val="14"/>
              </w:rPr>
              <w:t>483,043</w:t>
            </w:r>
          </w:p>
        </w:tc>
        <w:tc>
          <w:tcPr>
            <w:tcW w:w="2437" w:type="dxa"/>
            <w:tcMar>
              <w:top w:w="60" w:type="dxa"/>
              <w:left w:w="80" w:type="dxa"/>
              <w:bottom w:w="60" w:type="dxa"/>
              <w:right w:w="80" w:type="dxa"/>
            </w:tcMar>
          </w:tcPr>
          <w:p w14:paraId="6077647C" w14:textId="77777777" w:rsidR="002D7F6C" w:rsidRDefault="00000000">
            <w:pPr>
              <w:spacing w:after="0" w:line="264" w:lineRule="auto"/>
            </w:pPr>
            <w:r>
              <w:rPr>
                <w:rFonts w:ascii="Segoe UI" w:hAnsi="Segoe UI"/>
                <w:b/>
                <w:color w:val="1E293B"/>
                <w:sz w:val="14"/>
              </w:rPr>
              <w:t>86.98%</w:t>
            </w:r>
          </w:p>
        </w:tc>
        <w:tc>
          <w:tcPr>
            <w:tcW w:w="2437" w:type="dxa"/>
            <w:tcMar>
              <w:top w:w="60" w:type="dxa"/>
              <w:left w:w="80" w:type="dxa"/>
              <w:bottom w:w="60" w:type="dxa"/>
              <w:right w:w="80" w:type="dxa"/>
            </w:tcMar>
          </w:tcPr>
          <w:p w14:paraId="5F56D23F" w14:textId="77777777" w:rsidR="002D7F6C" w:rsidRDefault="00000000">
            <w:pPr>
              <w:spacing w:after="0" w:line="264" w:lineRule="auto"/>
            </w:pPr>
            <w:r>
              <w:rPr>
                <w:rFonts w:ascii="Segoe UI" w:hAnsi="Segoe UI"/>
                <w:color w:val="1E293B"/>
                <w:sz w:val="14"/>
              </w:rPr>
              <w:t>Drug is recorded in clinical investigation for indication in ChEMBL; NOT approved. Joined formulation rows, not unique clinical trials or verified indication-specific approvals.</w:t>
            </w:r>
          </w:p>
        </w:tc>
      </w:tr>
      <w:tr w:rsidR="002D7F6C" w14:paraId="2D316014" w14:textId="77777777">
        <w:trPr>
          <w:jc w:val="center"/>
        </w:trPr>
        <w:tc>
          <w:tcPr>
            <w:tcW w:w="2437" w:type="dxa"/>
            <w:shd w:val="clear" w:color="auto" w:fill="F8FAFC"/>
            <w:tcMar>
              <w:top w:w="60" w:type="dxa"/>
              <w:left w:w="80" w:type="dxa"/>
              <w:bottom w:w="60" w:type="dxa"/>
              <w:right w:w="80" w:type="dxa"/>
            </w:tcMar>
          </w:tcPr>
          <w:p w14:paraId="6394F3B0" w14:textId="77777777" w:rsidR="002D7F6C" w:rsidRDefault="00000000">
            <w:pPr>
              <w:spacing w:after="0" w:line="264" w:lineRule="auto"/>
            </w:pPr>
            <w:r>
              <w:rPr>
                <w:rFonts w:ascii="Segoe UI" w:hAnsi="Segoe UI"/>
                <w:b/>
                <w:color w:val="1E293B"/>
                <w:sz w:val="14"/>
              </w:rPr>
              <w:t>Preclinical / Unverified Records</w:t>
            </w:r>
          </w:p>
        </w:tc>
        <w:tc>
          <w:tcPr>
            <w:tcW w:w="2437" w:type="dxa"/>
            <w:shd w:val="clear" w:color="auto" w:fill="F8FAFC"/>
            <w:tcMar>
              <w:top w:w="60" w:type="dxa"/>
              <w:left w:w="80" w:type="dxa"/>
              <w:bottom w:w="60" w:type="dxa"/>
              <w:right w:w="80" w:type="dxa"/>
            </w:tcMar>
          </w:tcPr>
          <w:p w14:paraId="64559B99" w14:textId="77777777" w:rsidR="002D7F6C" w:rsidRDefault="00000000">
            <w:pPr>
              <w:spacing w:after="0" w:line="264" w:lineRule="auto"/>
            </w:pPr>
            <w:r>
              <w:rPr>
                <w:rFonts w:ascii="Segoe UI" w:hAnsi="Segoe UI"/>
                <w:b/>
                <w:color w:val="1E293B"/>
                <w:sz w:val="14"/>
              </w:rPr>
              <w:t>3</w:t>
            </w:r>
          </w:p>
        </w:tc>
        <w:tc>
          <w:tcPr>
            <w:tcW w:w="2437" w:type="dxa"/>
            <w:shd w:val="clear" w:color="auto" w:fill="F8FAFC"/>
            <w:tcMar>
              <w:top w:w="60" w:type="dxa"/>
              <w:left w:w="80" w:type="dxa"/>
              <w:bottom w:w="60" w:type="dxa"/>
              <w:right w:w="80" w:type="dxa"/>
            </w:tcMar>
          </w:tcPr>
          <w:p w14:paraId="433F35AB" w14:textId="77777777" w:rsidR="002D7F6C" w:rsidRDefault="00000000">
            <w:pPr>
              <w:spacing w:after="0" w:line="264" w:lineRule="auto"/>
            </w:pPr>
            <w:r>
              <w:rPr>
                <w:rFonts w:ascii="Segoe UI" w:hAnsi="Segoe UI"/>
                <w:b/>
                <w:color w:val="1E293B"/>
                <w:sz w:val="14"/>
              </w:rPr>
              <w:t>0.00%</w:t>
            </w:r>
          </w:p>
        </w:tc>
        <w:tc>
          <w:tcPr>
            <w:tcW w:w="2437" w:type="dxa"/>
            <w:shd w:val="clear" w:color="auto" w:fill="F8FAFC"/>
            <w:tcMar>
              <w:top w:w="60" w:type="dxa"/>
              <w:left w:w="80" w:type="dxa"/>
              <w:bottom w:w="60" w:type="dxa"/>
              <w:right w:w="80" w:type="dxa"/>
            </w:tcMar>
          </w:tcPr>
          <w:p w14:paraId="6AFAA8FA" w14:textId="77777777" w:rsidR="002D7F6C" w:rsidRDefault="00000000">
            <w:pPr>
              <w:spacing w:after="0" w:line="264" w:lineRule="auto"/>
            </w:pPr>
            <w:r>
              <w:rPr>
                <w:rFonts w:ascii="Segoe UI" w:hAnsi="Segoe UI"/>
                <w:color w:val="1E293B"/>
                <w:sz w:val="14"/>
              </w:rPr>
              <w:t>Non-clinical records with Phase 0 or unassigned clinical phase in ChEMBL.</w:t>
            </w:r>
          </w:p>
        </w:tc>
      </w:tr>
      <w:tr w:rsidR="002D7F6C" w14:paraId="29D2B3F0" w14:textId="77777777">
        <w:trPr>
          <w:jc w:val="center"/>
        </w:trPr>
        <w:tc>
          <w:tcPr>
            <w:tcW w:w="2437" w:type="dxa"/>
            <w:tcMar>
              <w:top w:w="60" w:type="dxa"/>
              <w:left w:w="80" w:type="dxa"/>
              <w:bottom w:w="60" w:type="dxa"/>
              <w:right w:w="80" w:type="dxa"/>
            </w:tcMar>
          </w:tcPr>
          <w:p w14:paraId="5A3FB069" w14:textId="77777777" w:rsidR="002D7F6C" w:rsidRDefault="00000000">
            <w:pPr>
              <w:spacing w:after="0" w:line="264" w:lineRule="auto"/>
            </w:pPr>
            <w:r>
              <w:rPr>
                <w:rFonts w:ascii="Segoe UI" w:hAnsi="Segoe UI"/>
                <w:b/>
                <w:color w:val="1E293B"/>
                <w:sz w:val="14"/>
              </w:rPr>
              <w:t>Total Master Joined Rows</w:t>
            </w:r>
          </w:p>
        </w:tc>
        <w:tc>
          <w:tcPr>
            <w:tcW w:w="2437" w:type="dxa"/>
            <w:tcMar>
              <w:top w:w="60" w:type="dxa"/>
              <w:left w:w="80" w:type="dxa"/>
              <w:bottom w:w="60" w:type="dxa"/>
              <w:right w:w="80" w:type="dxa"/>
            </w:tcMar>
          </w:tcPr>
          <w:p w14:paraId="585FA17B" w14:textId="77777777" w:rsidR="002D7F6C" w:rsidRDefault="00000000">
            <w:pPr>
              <w:spacing w:after="0" w:line="264" w:lineRule="auto"/>
            </w:pPr>
            <w:r>
              <w:rPr>
                <w:rFonts w:ascii="Segoe UI" w:hAnsi="Segoe UI"/>
                <w:b/>
                <w:color w:val="1E293B"/>
                <w:sz w:val="14"/>
              </w:rPr>
              <w:t>555,323</w:t>
            </w:r>
          </w:p>
        </w:tc>
        <w:tc>
          <w:tcPr>
            <w:tcW w:w="2437" w:type="dxa"/>
            <w:tcMar>
              <w:top w:w="60" w:type="dxa"/>
              <w:left w:w="80" w:type="dxa"/>
              <w:bottom w:w="60" w:type="dxa"/>
              <w:right w:w="80" w:type="dxa"/>
            </w:tcMar>
          </w:tcPr>
          <w:p w14:paraId="67C2D6C1" w14:textId="77777777" w:rsidR="002D7F6C" w:rsidRDefault="00000000">
            <w:pPr>
              <w:spacing w:after="0" w:line="264" w:lineRule="auto"/>
            </w:pPr>
            <w:r>
              <w:rPr>
                <w:rFonts w:ascii="Segoe UI" w:hAnsi="Segoe UI"/>
                <w:b/>
                <w:color w:val="1E293B"/>
                <w:sz w:val="14"/>
              </w:rPr>
              <w:t>100.00%</w:t>
            </w:r>
          </w:p>
        </w:tc>
        <w:tc>
          <w:tcPr>
            <w:tcW w:w="2437" w:type="dxa"/>
            <w:tcMar>
              <w:top w:w="60" w:type="dxa"/>
              <w:left w:w="80" w:type="dxa"/>
              <w:bottom w:w="60" w:type="dxa"/>
              <w:right w:w="80" w:type="dxa"/>
            </w:tcMar>
          </w:tcPr>
          <w:p w14:paraId="38B5999B" w14:textId="77777777" w:rsidR="002D7F6C" w:rsidRDefault="00000000">
            <w:pPr>
              <w:spacing w:after="0" w:line="264" w:lineRule="auto"/>
            </w:pPr>
            <w:r>
              <w:rPr>
                <w:rFonts w:ascii="Segoe UI" w:hAnsi="Segoe UI"/>
                <w:color w:val="1E293B"/>
                <w:sz w:val="14"/>
              </w:rPr>
              <w:t>Cartesian join product across 30,430 unique disease–molecule milestone pairs (</w:t>
            </w:r>
            <w:r>
              <w:rPr>
                <w:rFonts w:ascii="Cambria Math" w:hAnsi="Cambria Math"/>
                <w:i/>
                <w:color w:val="1E293B"/>
                <w:sz w:val="14"/>
              </w:rPr>
              <w:t>18.25×</w:t>
            </w:r>
            <w:r>
              <w:rPr>
                <w:rFonts w:ascii="Segoe UI" w:hAnsi="Segoe UI"/>
                <w:color w:val="1E293B"/>
                <w:sz w:val="14"/>
              </w:rPr>
              <w:t xml:space="preserve"> expansion).</w:t>
            </w:r>
          </w:p>
        </w:tc>
      </w:tr>
    </w:tbl>
    <w:p w14:paraId="134DD5DB" w14:textId="77777777" w:rsidR="002D7F6C" w:rsidRDefault="002D7F6C">
      <w:pPr>
        <w:spacing w:after="80"/>
      </w:pPr>
    </w:p>
    <w:p w14:paraId="2C11F9F8" w14:textId="77777777" w:rsidR="002D7F6C" w:rsidRDefault="00000000">
      <w:pPr>
        <w:keepNext/>
        <w:spacing w:before="160" w:after="40"/>
        <w:jc w:val="center"/>
      </w:pPr>
      <w:r>
        <w:rPr>
          <w:noProof/>
        </w:rPr>
        <w:lastRenderedPageBreak/>
        <w:drawing>
          <wp:inline distT="0" distB="0" distL="0" distR="0" wp14:anchorId="461A9C40" wp14:editId="05E92902">
            <wp:extent cx="4754880" cy="28529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evidence_classification.png"/>
                    <pic:cNvPicPr/>
                  </pic:nvPicPr>
                  <pic:blipFill>
                    <a:blip r:embed="rId26"/>
                    <a:stretch>
                      <a:fillRect/>
                    </a:stretch>
                  </pic:blipFill>
                  <pic:spPr>
                    <a:xfrm>
                      <a:off x="0" y="0"/>
                      <a:ext cx="4754880" cy="2852928"/>
                    </a:xfrm>
                    <a:prstGeom prst="rect">
                      <a:avLst/>
                    </a:prstGeom>
                  </pic:spPr>
                </pic:pic>
              </a:graphicData>
            </a:graphic>
          </wp:inline>
        </w:drawing>
      </w:r>
    </w:p>
    <w:p w14:paraId="48AF568A" w14:textId="77777777" w:rsidR="002D7F6C" w:rsidRDefault="00000000">
      <w:pPr>
        <w:spacing w:before="40" w:after="160"/>
        <w:jc w:val="center"/>
      </w:pPr>
      <w:r>
        <w:rPr>
          <w:rFonts w:ascii="Segoe UI" w:hAnsi="Segoe UI"/>
          <w:i/>
          <w:color w:val="64748B"/>
          <w:sz w:val="16"/>
        </w:rPr>
        <w:t>Figure 5.7: Evidence classification breakdown separating FDA-approved molecules with a Phase 4 record from investigational indication records.</w:t>
      </w:r>
    </w:p>
    <w:p w14:paraId="0997D5DC" w14:textId="77777777" w:rsidR="002D7F6C" w:rsidRDefault="00000000">
      <w:pPr>
        <w:keepNext/>
        <w:spacing w:before="160" w:after="40"/>
        <w:jc w:val="center"/>
      </w:pPr>
      <w:r>
        <w:rPr>
          <w:noProof/>
        </w:rPr>
        <w:drawing>
          <wp:inline distT="0" distB="0" distL="0" distR="0" wp14:anchorId="5CD6D877" wp14:editId="393B238C">
            <wp:extent cx="4754880" cy="2593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esian_duplication_impact.png"/>
                    <pic:cNvPicPr/>
                  </pic:nvPicPr>
                  <pic:blipFill>
                    <a:blip r:embed="rId27"/>
                    <a:stretch>
                      <a:fillRect/>
                    </a:stretch>
                  </pic:blipFill>
                  <pic:spPr>
                    <a:xfrm>
                      <a:off x="0" y="0"/>
                      <a:ext cx="4754880" cy="2593571"/>
                    </a:xfrm>
                    <a:prstGeom prst="rect">
                      <a:avLst/>
                    </a:prstGeom>
                  </pic:spPr>
                </pic:pic>
              </a:graphicData>
            </a:graphic>
          </wp:inline>
        </w:drawing>
      </w:r>
    </w:p>
    <w:p w14:paraId="20F417B7" w14:textId="77777777" w:rsidR="002D7F6C" w:rsidRDefault="00000000">
      <w:pPr>
        <w:spacing w:before="40" w:after="160"/>
        <w:jc w:val="center"/>
      </w:pPr>
      <w:r>
        <w:rPr>
          <w:rFonts w:ascii="Segoe UI" w:hAnsi="Segoe UI"/>
          <w:i/>
          <w:color w:val="64748B"/>
          <w:sz w:val="16"/>
        </w:rPr>
        <w:t>Figure 5.8: Logarithmic comparison illustrating the 18.25x Cartesian expansion between unique biological pairs and formulation join rows.</w:t>
      </w:r>
    </w:p>
    <w:p w14:paraId="4F3E8333" w14:textId="77777777" w:rsidR="002D7F6C" w:rsidRDefault="00000000">
      <w:pPr>
        <w:keepNext/>
        <w:spacing w:before="120" w:after="40"/>
      </w:pPr>
      <w:r>
        <w:rPr>
          <w:rFonts w:ascii="Segoe UI" w:hAnsi="Segoe UI"/>
          <w:b/>
          <w:color w:val="334155"/>
          <w:sz w:val="18"/>
        </w:rPr>
        <w:t>Joined Rows vs. Unique Clinical Trials</w:t>
      </w:r>
    </w:p>
    <w:p w14:paraId="2C3C0C74" w14:textId="7759B27D" w:rsidR="002D7F6C" w:rsidRDefault="00000000">
      <w:pPr>
        <w:spacing w:after="80"/>
      </w:pPr>
      <w:r>
        <w:rPr>
          <w:rFonts w:ascii="Segoe UI" w:hAnsi="Segoe UI"/>
          <w:color w:val="1E293B"/>
          <w:sz w:val="18"/>
        </w:rPr>
        <w:t xml:space="preserve">The audit rigorously established that the 483,043 investigational indication rows represent </w:t>
      </w:r>
      <w:r>
        <w:rPr>
          <w:rFonts w:ascii="Segoe UI" w:hAnsi="Segoe UI"/>
          <w:b/>
          <w:color w:val="1E293B"/>
          <w:sz w:val="18"/>
        </w:rPr>
        <w:t>product formulation and packaging Cartesian expansion across NDAs and ChEMBL indication records</w:t>
      </w:r>
      <w:r>
        <w:rPr>
          <w:rFonts w:ascii="Segoe UI" w:hAnsi="Segoe UI"/>
          <w:color w:val="1E293B"/>
          <w:sz w:val="18"/>
        </w:rPr>
        <w:t xml:space="preserve">, not 483k distinct clinical trials. The true underlying dataset contains </w:t>
      </w:r>
      <w:r>
        <w:rPr>
          <w:rFonts w:ascii="Segoe UI" w:hAnsi="Segoe UI"/>
          <w:b/>
          <w:color w:val="1E293B"/>
          <w:sz w:val="18"/>
        </w:rPr>
        <w:t>30,430 unique disease–molecule pairings</w:t>
      </w:r>
      <w:r>
        <w:rPr>
          <w:rFonts w:ascii="Segoe UI" w:hAnsi="Segoe UI"/>
          <w:color w:val="1E293B"/>
          <w:sz w:val="18"/>
        </w:rPr>
        <w:t xml:space="preserve">. Furthermore, </w:t>
      </w:r>
      <w:r>
        <w:rPr>
          <w:rFonts w:ascii="Consolas" w:hAnsi="Consolas"/>
          <w:color w:val="0284C7"/>
          <w:sz w:val="16"/>
        </w:rPr>
        <w:t>first_approval_year</w:t>
      </w:r>
      <w:r>
        <w:rPr>
          <w:rFonts w:ascii="Segoe UI" w:hAnsi="Segoe UI"/>
          <w:color w:val="1E293B"/>
          <w:sz w:val="18"/>
        </w:rPr>
        <w:t xml:space="preserve"> (1939–2026, 749 missing approval years / 6.12%) indicates when an active ingredient first entered the US market, which precedes secondary indication approvals. The </w:t>
      </w:r>
      <w:r w:rsidR="00F70AF2">
        <w:rPr>
          <w:rFonts w:ascii="Segoe UI" w:hAnsi="Segoe UI"/>
          <w:color w:val="1E293B"/>
          <w:sz w:val="18"/>
        </w:rPr>
        <w:t>joint</w:t>
      </w:r>
      <w:r>
        <w:rPr>
          <w:rFonts w:ascii="Segoe UI" w:hAnsi="Segoe UI"/>
          <w:color w:val="1E293B"/>
          <w:sz w:val="18"/>
        </w:rPr>
        <w:t xml:space="preserve"> categories are not counts of unique clinical trials or verified indication-specific FDA marketing approvals.</w:t>
      </w:r>
    </w:p>
    <w:p w14:paraId="16B67837" w14:textId="77777777" w:rsidR="002D7F6C" w:rsidRDefault="00000000">
      <w:pPr>
        <w:keepNext/>
        <w:spacing w:before="180" w:after="60"/>
      </w:pPr>
      <w:r>
        <w:rPr>
          <w:rFonts w:ascii="Segoe UI" w:hAnsi="Segoe UI"/>
          <w:b/>
          <w:color w:val="0F172A"/>
          <w:sz w:val="20"/>
        </w:rPr>
        <w:t>5.5 Development Latency Projections &amp; Appraisal of the "2114" Headline</w:t>
      </w:r>
    </w:p>
    <w:p w14:paraId="712E80B0" w14:textId="77777777" w:rsidR="002D7F6C" w:rsidRDefault="00000000">
      <w:pPr>
        <w:spacing w:after="80"/>
      </w:pPr>
      <w:r>
        <w:rPr>
          <w:rFonts w:ascii="Segoe UI" w:hAnsi="Segoe UI"/>
          <w:color w:val="1E293B"/>
          <w:sz w:val="18"/>
        </w:rPr>
        <w:t xml:space="preserve">Applying the DiMasi biopharmaceutical transition model across 37 disease pipelines produced prototype projections documented in </w:t>
      </w:r>
      <w:r>
        <w:rPr>
          <w:rFonts w:ascii="Consolas" w:hAnsi="Consolas"/>
          <w:color w:val="0284C7"/>
          <w:sz w:val="16"/>
        </w:rPr>
        <w:t>outputs/timeline_analysis/experimental_forecast_projections.csv</w:t>
      </w:r>
      <w:r>
        <w:rPr>
          <w:rFonts w:ascii="Segoe UI" w:hAnsi="Segoe UI"/>
          <w:color w:val="1E293B"/>
          <w:sz w:val="18"/>
        </w:rPr>
        <w:t xml:space="preserve">, where median milestone years span </w:t>
      </w:r>
      <w:r>
        <w:rPr>
          <w:rFonts w:ascii="Segoe UI" w:hAnsi="Segoe UI"/>
          <w:b/>
          <w:color w:val="1E293B"/>
          <w:sz w:val="18"/>
        </w:rPr>
        <w:t>2028 to 2041</w:t>
      </w:r>
      <w:r>
        <w:rPr>
          <w:rFonts w:ascii="Segoe UI" w:hAnsi="Segoe UI"/>
          <w:color w:val="1E293B"/>
          <w:sz w:val="18"/>
        </w:rPr>
        <w:t xml:space="preserve"> with heuristic confidence windows spanning </w:t>
      </w:r>
      <w:r>
        <w:rPr>
          <w:rFonts w:ascii="Segoe UI" w:hAnsi="Segoe UI"/>
          <w:b/>
          <w:color w:val="1E293B"/>
          <w:sz w:val="18"/>
        </w:rPr>
        <w:t>2027 to 2045</w:t>
      </w:r>
      <w:r>
        <w:rPr>
          <w:rFonts w:ascii="Segoe UI" w:hAnsi="Segoe UI"/>
          <w:color w:val="1E293B"/>
          <w:sz w:val="18"/>
        </w:rPr>
        <w:t>:</w:t>
      </w:r>
    </w:p>
    <w:p w14:paraId="200BCE4F" w14:textId="77777777" w:rsidR="002D7F6C" w:rsidRDefault="00000000">
      <w:pPr>
        <w:pStyle w:val="ListBullet"/>
        <w:spacing w:before="20" w:after="40"/>
      </w:pPr>
      <w:r>
        <w:rPr>
          <w:rFonts w:ascii="Segoe UI" w:hAnsi="Segoe UI"/>
          <w:b/>
          <w:color w:val="1E293B"/>
          <w:sz w:val="18"/>
        </w:rPr>
        <w:t>Approved Therapies Exist (Repurposing / Expansion, 33 Diseases)</w:t>
      </w:r>
      <w:r>
        <w:rPr>
          <w:rFonts w:ascii="Segoe UI" w:hAnsi="Segoe UI"/>
          <w:color w:val="1E293B"/>
          <w:sz w:val="18"/>
        </w:rPr>
        <w:t xml:space="preserve">: The initial therapeutic development milestone was historically achieved; projected median decision milestone is </w:t>
      </w:r>
      <w:r>
        <w:rPr>
          <w:rFonts w:ascii="Segoe UI" w:hAnsi="Segoe UI"/>
          <w:b/>
          <w:color w:val="1E293B"/>
          <w:sz w:val="18"/>
        </w:rPr>
        <w:t>2028</w:t>
      </w:r>
      <w:r>
        <w:rPr>
          <w:rFonts w:ascii="Segoe UI" w:hAnsi="Segoe UI"/>
          <w:color w:val="1E293B"/>
          <w:sz w:val="18"/>
        </w:rPr>
        <w:t xml:space="preserve"> (heuristic confidence window: </w:t>
      </w:r>
      <w:r>
        <w:rPr>
          <w:rFonts w:ascii="Segoe UI" w:hAnsi="Segoe UI"/>
          <w:b/>
          <w:color w:val="1E293B"/>
          <w:sz w:val="18"/>
        </w:rPr>
        <w:t>2027–2028</w:t>
      </w:r>
      <w:r>
        <w:rPr>
          <w:rFonts w:ascii="Segoe UI" w:hAnsi="Segoe UI"/>
          <w:color w:val="1E293B"/>
          <w:sz w:val="18"/>
        </w:rPr>
        <w:t xml:space="preserve">, estimated realization probability: </w:t>
      </w:r>
      <w:r>
        <w:rPr>
          <w:rFonts w:ascii="Segoe UI" w:hAnsi="Segoe UI"/>
          <w:b/>
          <w:color w:val="1E293B"/>
          <w:sz w:val="18"/>
        </w:rPr>
        <w:t>90.0%</w:t>
      </w:r>
      <w:r>
        <w:rPr>
          <w:rFonts w:ascii="Segoe UI" w:hAnsi="Segoe UI"/>
          <w:color w:val="1E293B"/>
          <w:sz w:val="18"/>
        </w:rPr>
        <w:t>).</w:t>
      </w:r>
    </w:p>
    <w:p w14:paraId="7FF6759A" w14:textId="5DF519DF" w:rsidR="002D7F6C" w:rsidRDefault="00000000">
      <w:pPr>
        <w:pStyle w:val="ListBullet"/>
        <w:spacing w:before="20" w:after="40"/>
      </w:pPr>
      <w:r>
        <w:rPr>
          <w:rFonts w:ascii="Segoe UI" w:hAnsi="Segoe UI"/>
          <w:b/>
          <w:color w:val="1E293B"/>
          <w:sz w:val="18"/>
        </w:rPr>
        <w:lastRenderedPageBreak/>
        <w:t>Active Clinical Pipelines (Phase 2/3, 2 Diseases)</w:t>
      </w:r>
      <w:r>
        <w:rPr>
          <w:rFonts w:ascii="Segoe UI" w:hAnsi="Segoe UI"/>
          <w:color w:val="1E293B"/>
          <w:sz w:val="18"/>
        </w:rPr>
        <w:t xml:space="preserve">: Projected median milestones span </w:t>
      </w:r>
      <w:r>
        <w:rPr>
          <w:rFonts w:ascii="Segoe UI" w:hAnsi="Segoe UI"/>
          <w:b/>
          <w:color w:val="1E293B"/>
          <w:sz w:val="18"/>
        </w:rPr>
        <w:t>2031 to 2034</w:t>
      </w:r>
      <w:r>
        <w:rPr>
          <w:rFonts w:ascii="Segoe UI" w:hAnsi="Segoe UI"/>
          <w:color w:val="1E293B"/>
          <w:sz w:val="18"/>
        </w:rPr>
        <w:t xml:space="preserve"> (Phase 3 in </w:t>
      </w:r>
      <w:r>
        <w:rPr>
          <w:rFonts w:ascii="Segoe UI" w:hAnsi="Segoe UI"/>
          <w:b/>
          <w:color w:val="1E293B"/>
          <w:sz w:val="18"/>
        </w:rPr>
        <w:t>2031</w:t>
      </w:r>
      <w:r>
        <w:rPr>
          <w:rFonts w:ascii="Segoe UI" w:hAnsi="Segoe UI"/>
          <w:color w:val="1E293B"/>
          <w:sz w:val="18"/>
        </w:rPr>
        <w:t xml:space="preserve"> [confidence window: </w:t>
      </w:r>
      <w:r>
        <w:rPr>
          <w:rFonts w:ascii="Segoe UI" w:hAnsi="Segoe UI"/>
          <w:b/>
          <w:color w:val="1E293B"/>
          <w:sz w:val="18"/>
        </w:rPr>
        <w:t>2029–2034</w:t>
      </w:r>
      <w:r>
        <w:rPr>
          <w:rFonts w:ascii="Segoe UI" w:hAnsi="Segoe UI"/>
          <w:color w:val="1E293B"/>
          <w:sz w:val="18"/>
        </w:rPr>
        <w:t xml:space="preserve">, </w:t>
      </w:r>
      <w:r w:rsidR="00F70AF2">
        <w:rPr>
          <w:rFonts w:ascii="Segoe UI" w:hAnsi="Segoe UI"/>
          <w:color w:val="1E293B"/>
          <w:sz w:val="18"/>
        </w:rPr>
        <w:t>realisation</w:t>
      </w:r>
      <w:r>
        <w:rPr>
          <w:rFonts w:ascii="Segoe UI" w:hAnsi="Segoe UI"/>
          <w:color w:val="1E293B"/>
          <w:sz w:val="18"/>
        </w:rPr>
        <w:t xml:space="preserve"> probability: </w:t>
      </w:r>
      <w:r>
        <w:rPr>
          <w:rFonts w:ascii="Segoe UI" w:hAnsi="Segoe UI"/>
          <w:b/>
          <w:color w:val="1E293B"/>
          <w:sz w:val="18"/>
        </w:rPr>
        <w:t>52.2%</w:t>
      </w:r>
      <w:r>
        <w:rPr>
          <w:rFonts w:ascii="Segoe UI" w:hAnsi="Segoe UI"/>
          <w:color w:val="1E293B"/>
          <w:sz w:val="18"/>
        </w:rPr>
        <w:t xml:space="preserve">]; Phase 2 in </w:t>
      </w:r>
      <w:r>
        <w:rPr>
          <w:rFonts w:ascii="Segoe UI" w:hAnsi="Segoe UI"/>
          <w:b/>
          <w:color w:val="1E293B"/>
          <w:sz w:val="18"/>
        </w:rPr>
        <w:t>2034</w:t>
      </w:r>
      <w:r>
        <w:rPr>
          <w:rFonts w:ascii="Segoe UI" w:hAnsi="Segoe UI"/>
          <w:color w:val="1E293B"/>
          <w:sz w:val="18"/>
        </w:rPr>
        <w:t xml:space="preserve"> [confidence window: </w:t>
      </w:r>
      <w:r>
        <w:rPr>
          <w:rFonts w:ascii="Segoe UI" w:hAnsi="Segoe UI"/>
          <w:b/>
          <w:color w:val="1E293B"/>
          <w:sz w:val="18"/>
        </w:rPr>
        <w:t>2032–2038</w:t>
      </w:r>
      <w:r>
        <w:rPr>
          <w:rFonts w:ascii="Segoe UI" w:hAnsi="Segoe UI"/>
          <w:color w:val="1E293B"/>
          <w:sz w:val="18"/>
        </w:rPr>
        <w:t xml:space="preserve">, </w:t>
      </w:r>
      <w:r w:rsidR="00F70AF2">
        <w:rPr>
          <w:rFonts w:ascii="Segoe UI" w:hAnsi="Segoe UI"/>
          <w:color w:val="1E293B"/>
          <w:sz w:val="18"/>
        </w:rPr>
        <w:t>realisation</w:t>
      </w:r>
      <w:r>
        <w:rPr>
          <w:rFonts w:ascii="Segoe UI" w:hAnsi="Segoe UI"/>
          <w:color w:val="1E293B"/>
          <w:sz w:val="18"/>
        </w:rPr>
        <w:t xml:space="preserve"> probability: </w:t>
      </w:r>
      <w:r>
        <w:rPr>
          <w:rFonts w:ascii="Segoe UI" w:hAnsi="Segoe UI"/>
          <w:b/>
          <w:color w:val="1E293B"/>
          <w:sz w:val="18"/>
        </w:rPr>
        <w:t>18.3%</w:t>
      </w:r>
      <w:r>
        <w:rPr>
          <w:rFonts w:ascii="Segoe UI" w:hAnsi="Segoe UI"/>
          <w:color w:val="1E293B"/>
          <w:sz w:val="18"/>
        </w:rPr>
        <w:t xml:space="preserve">]; cumulative decision window: </w:t>
      </w:r>
      <w:r>
        <w:rPr>
          <w:rFonts w:ascii="Segoe UI" w:hAnsi="Segoe UI"/>
          <w:b/>
          <w:color w:val="1E293B"/>
          <w:sz w:val="18"/>
        </w:rPr>
        <w:t>2029–2038</w:t>
      </w:r>
      <w:r>
        <w:rPr>
          <w:rFonts w:ascii="Segoe UI" w:hAnsi="Segoe UI"/>
          <w:color w:val="1E293B"/>
          <w:sz w:val="18"/>
        </w:rPr>
        <w:t>).</w:t>
      </w:r>
    </w:p>
    <w:p w14:paraId="2D0A8B09" w14:textId="5F6CB9B8" w:rsidR="002D7F6C" w:rsidRDefault="00000000">
      <w:pPr>
        <w:pStyle w:val="ListBullet"/>
        <w:spacing w:before="20" w:after="40"/>
      </w:pPr>
      <w:r>
        <w:rPr>
          <w:rFonts w:ascii="Segoe UI" w:hAnsi="Segoe UI"/>
          <w:b/>
          <w:color w:val="1E293B"/>
          <w:sz w:val="18"/>
        </w:rPr>
        <w:t>Preclinical Screening (Phase 0, 2 Diseases)</w:t>
      </w:r>
      <w:r>
        <w:rPr>
          <w:rFonts w:ascii="Segoe UI" w:hAnsi="Segoe UI"/>
          <w:color w:val="1E293B"/>
          <w:sz w:val="18"/>
        </w:rPr>
        <w:t xml:space="preserve">: Projected median decision milestone is </w:t>
      </w:r>
      <w:r>
        <w:rPr>
          <w:rFonts w:ascii="Segoe UI" w:hAnsi="Segoe UI"/>
          <w:b/>
          <w:color w:val="1E293B"/>
          <w:sz w:val="18"/>
        </w:rPr>
        <w:t>2041</w:t>
      </w:r>
      <w:r>
        <w:rPr>
          <w:rFonts w:ascii="Segoe UI" w:hAnsi="Segoe UI"/>
          <w:color w:val="1E293B"/>
          <w:sz w:val="18"/>
        </w:rPr>
        <w:t xml:space="preserve"> (heuristic confidence window: </w:t>
      </w:r>
      <w:r>
        <w:rPr>
          <w:rFonts w:ascii="Segoe UI" w:hAnsi="Segoe UI"/>
          <w:b/>
          <w:color w:val="1E293B"/>
          <w:sz w:val="18"/>
        </w:rPr>
        <w:t>2037 to 2045</w:t>
      </w:r>
      <w:r>
        <w:rPr>
          <w:rFonts w:ascii="Segoe UI" w:hAnsi="Segoe UI"/>
          <w:color w:val="1E293B"/>
          <w:sz w:val="18"/>
        </w:rPr>
        <w:t xml:space="preserve">), with a cumulative </w:t>
      </w:r>
      <w:r w:rsidR="00F70AF2">
        <w:rPr>
          <w:rFonts w:ascii="Segoe UI" w:hAnsi="Segoe UI"/>
          <w:color w:val="1E293B"/>
          <w:sz w:val="18"/>
        </w:rPr>
        <w:t>realisation</w:t>
      </w:r>
      <w:r>
        <w:rPr>
          <w:rFonts w:ascii="Segoe UI" w:hAnsi="Segoe UI"/>
          <w:color w:val="1E293B"/>
          <w:sz w:val="18"/>
        </w:rPr>
        <w:t xml:space="preserve"> probability of </w:t>
      </w:r>
      <w:r>
        <w:rPr>
          <w:rFonts w:ascii="Segoe UI" w:hAnsi="Segoe UI"/>
          <w:b/>
          <w:color w:val="1E293B"/>
          <w:sz w:val="18"/>
        </w:rPr>
        <w:t>4.3%</w:t>
      </w:r>
      <w:r>
        <w:rPr>
          <w:rFonts w:ascii="Segoe UI" w:hAnsi="Segoe UI"/>
          <w:color w:val="1E293B"/>
          <w:sz w:val="18"/>
        </w:rPr>
        <w:t xml:space="preserve"> due to severe preclinical attrition.</w:t>
      </w:r>
    </w:p>
    <w:p w14:paraId="088495F0" w14:textId="77777777" w:rsidR="002D7F6C" w:rsidRDefault="00000000">
      <w:pPr>
        <w:keepNext/>
        <w:spacing w:before="160" w:after="40"/>
        <w:jc w:val="center"/>
      </w:pPr>
      <w:r>
        <w:rPr>
          <w:noProof/>
        </w:rPr>
        <w:drawing>
          <wp:inline distT="0" distB="0" distL="0" distR="0" wp14:anchorId="2CCF954A" wp14:editId="329F1326">
            <wp:extent cx="4754880" cy="27736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pipeline_latencies.png"/>
                    <pic:cNvPicPr/>
                  </pic:nvPicPr>
                  <pic:blipFill>
                    <a:blip r:embed="rId28"/>
                    <a:stretch>
                      <a:fillRect/>
                    </a:stretch>
                  </pic:blipFill>
                  <pic:spPr>
                    <a:xfrm>
                      <a:off x="0" y="0"/>
                      <a:ext cx="4754880" cy="2773680"/>
                    </a:xfrm>
                    <a:prstGeom prst="rect">
                      <a:avLst/>
                    </a:prstGeom>
                  </pic:spPr>
                </pic:pic>
              </a:graphicData>
            </a:graphic>
          </wp:inline>
        </w:drawing>
      </w:r>
    </w:p>
    <w:p w14:paraId="6178DE78" w14:textId="77777777" w:rsidR="002D7F6C" w:rsidRDefault="00000000">
      <w:pPr>
        <w:spacing w:before="40" w:after="160"/>
        <w:jc w:val="center"/>
      </w:pPr>
      <w:r>
        <w:rPr>
          <w:rFonts w:ascii="Segoe UI" w:hAnsi="Segoe UI"/>
          <w:i/>
          <w:color w:val="64748B"/>
          <w:sz w:val="16"/>
        </w:rPr>
        <w:t>Figure 5.9: Projected clinical decision windows and heuristic uncertainty intervals across active disease pipelines.</w:t>
      </w:r>
    </w:p>
    <w:p w14:paraId="74FB89F7" w14:textId="77777777" w:rsidR="002D7F6C" w:rsidRDefault="00000000">
      <w:pPr>
        <w:keepNext/>
        <w:spacing w:before="120" w:after="40"/>
      </w:pPr>
      <w:r>
        <w:rPr>
          <w:rFonts w:ascii="Segoe UI" w:hAnsi="Segoe UI"/>
          <w:b/>
          <w:color w:val="334155"/>
          <w:sz w:val="18"/>
        </w:rPr>
        <w:t>Academic Appraisal of the "Year 2114" Headline</w:t>
      </w:r>
    </w:p>
    <w:p w14:paraId="70E8C9E7" w14:textId="3D1CE7E1" w:rsidR="002D7F6C" w:rsidRDefault="00000000">
      <w:pPr>
        <w:spacing w:after="80"/>
      </w:pPr>
      <w:r>
        <w:rPr>
          <w:rFonts w:ascii="Segoe UI" w:hAnsi="Segoe UI"/>
          <w:color w:val="1E293B"/>
          <w:sz w:val="18"/>
        </w:rPr>
        <w:t xml:space="preserve">In the initial project concept proposal, the year </w:t>
      </w:r>
      <w:r>
        <w:rPr>
          <w:rFonts w:ascii="Segoe UI" w:hAnsi="Segoe UI"/>
          <w:b/>
          <w:color w:val="1E293B"/>
          <w:sz w:val="18"/>
        </w:rPr>
        <w:t>"2114"</w:t>
      </w:r>
      <w:r>
        <w:rPr>
          <w:rFonts w:ascii="Segoe UI" w:hAnsi="Segoe UI"/>
          <w:color w:val="1E293B"/>
          <w:sz w:val="18"/>
        </w:rPr>
        <w:t xml:space="preserve"> was introduced as a multi-decadal horizon headline. Our Review-2 evaluation formally </w:t>
      </w:r>
      <w:r w:rsidR="00F70AF2">
        <w:rPr>
          <w:rFonts w:ascii="Segoe UI" w:hAnsi="Segoe UI"/>
          <w:color w:val="1E293B"/>
          <w:sz w:val="18"/>
        </w:rPr>
        <w:t>categorises</w:t>
      </w:r>
      <w:r>
        <w:rPr>
          <w:rFonts w:ascii="Segoe UI" w:hAnsi="Segoe UI"/>
          <w:color w:val="1E293B"/>
          <w:sz w:val="18"/>
        </w:rPr>
        <w:t xml:space="preserve"> this date as an </w:t>
      </w:r>
      <w:r>
        <w:rPr>
          <w:rFonts w:ascii="Segoe UI" w:hAnsi="Segoe UI"/>
          <w:b/>
          <w:color w:val="1E293B"/>
          <w:sz w:val="18"/>
        </w:rPr>
        <w:t>illustrative, assumption-based project concept</w:t>
      </w:r>
      <w:r>
        <w:rPr>
          <w:rFonts w:ascii="Segoe UI" w:hAnsi="Segoe UI"/>
          <w:color w:val="1E293B"/>
          <w:sz w:val="18"/>
        </w:rPr>
        <w:t>, not a model-generated machine learning prediction:</w:t>
      </w:r>
    </w:p>
    <w:p w14:paraId="2D96A8D1" w14:textId="14CA566B" w:rsidR="002D7F6C" w:rsidRDefault="00000000" w:rsidP="00A64601">
      <w:pPr>
        <w:pStyle w:val="ListNumber"/>
        <w:numPr>
          <w:ilvl w:val="0"/>
          <w:numId w:val="13"/>
        </w:numPr>
        <w:spacing w:before="20" w:after="40"/>
      </w:pPr>
      <w:r w:rsidRPr="00A64601">
        <w:rPr>
          <w:rFonts w:ascii="Segoe UI" w:hAnsi="Segoe UI"/>
          <w:b/>
          <w:color w:val="1E293B"/>
          <w:sz w:val="18"/>
        </w:rPr>
        <w:t>Unbounded Epistemic Uncertainty</w:t>
      </w:r>
      <w:r w:rsidRPr="00A64601">
        <w:rPr>
          <w:rFonts w:ascii="Segoe UI" w:hAnsi="Segoe UI"/>
          <w:color w:val="1E293B"/>
          <w:sz w:val="18"/>
        </w:rPr>
        <w:t>: Machine learning models can project decision windows over 5–</w:t>
      </w:r>
      <w:r w:rsidR="00F70AF2" w:rsidRPr="00A64601">
        <w:rPr>
          <w:rFonts w:ascii="Segoe UI" w:hAnsi="Segoe UI"/>
          <w:color w:val="1E293B"/>
          <w:sz w:val="18"/>
        </w:rPr>
        <w:t>15-year</w:t>
      </w:r>
      <w:r w:rsidRPr="00A64601">
        <w:rPr>
          <w:rFonts w:ascii="Segoe UI" w:hAnsi="Segoe UI"/>
          <w:color w:val="1E293B"/>
          <w:sz w:val="18"/>
        </w:rPr>
        <w:t xml:space="preserve"> horizons based on clinical pipeline phases. Projecting milestones across century scales carries unbounded uncertainty due to unpredictable scientific paradigm shifts, policy changes, and technological disruptions.</w:t>
      </w:r>
    </w:p>
    <w:p w14:paraId="07D7242F" w14:textId="3A568F44" w:rsidR="002D7F6C" w:rsidRDefault="00000000">
      <w:pPr>
        <w:pStyle w:val="ListNumber"/>
        <w:spacing w:before="20" w:after="40"/>
      </w:pPr>
      <w:r>
        <w:rPr>
          <w:rFonts w:ascii="Segoe UI" w:hAnsi="Segoe UI"/>
          <w:b/>
          <w:color w:val="1E293B"/>
          <w:sz w:val="18"/>
        </w:rPr>
        <w:t>Distinguishing Literature Parameters from Prototype Assumptions</w:t>
      </w:r>
      <w:r>
        <w:rPr>
          <w:rFonts w:ascii="Segoe UI" w:hAnsi="Segoe UI"/>
          <w:color w:val="1E293B"/>
          <w:sz w:val="18"/>
        </w:rPr>
        <w:t xml:space="preserve">: </w:t>
      </w:r>
      <w:r w:rsidR="00F70AF2" w:rsidRPr="00F70AF2">
        <w:rPr>
          <w:rFonts w:ascii="Segoe UI" w:hAnsi="Segoe UI"/>
          <w:color w:val="1E293B"/>
          <w:sz w:val="18"/>
        </w:rPr>
        <w:t xml:space="preserve">While median stage durations (tau_p) and transition probabilities (P_p) derive from peer-reviewed literature (DiMasi et al., Hay et al.), the ± 35% uncertainty bounds ([0.65× tau_cum, 1.45× tau_cum]), sequential non-accelerated linear progression, and setting Y_base = 2026 are explicit prototype </w:t>
      </w:r>
      <w:r w:rsidR="00F70AF2">
        <w:rPr>
          <w:rFonts w:ascii="Segoe UI" w:hAnsi="Segoe UI"/>
          <w:color w:val="1E293B"/>
          <w:sz w:val="18"/>
        </w:rPr>
        <w:t>modelling</w:t>
      </w:r>
      <w:r w:rsidR="00F70AF2" w:rsidRPr="00F70AF2">
        <w:rPr>
          <w:rFonts w:ascii="Segoe UI" w:hAnsi="Segoe UI"/>
          <w:color w:val="1E293B"/>
          <w:sz w:val="18"/>
        </w:rPr>
        <w:t xml:space="preserve"> assumptions rather than fitted survival distributions.</w:t>
      </w:r>
    </w:p>
    <w:p w14:paraId="6393D2C6" w14:textId="77777777" w:rsidR="002D7F6C" w:rsidRDefault="00000000">
      <w:r>
        <w:br w:type="page"/>
      </w:r>
    </w:p>
    <w:p w14:paraId="3909DC82" w14:textId="77777777" w:rsidR="002D7F6C" w:rsidRDefault="00000000">
      <w:pPr>
        <w:keepNext/>
        <w:spacing w:before="260" w:after="80"/>
      </w:pPr>
      <w:r>
        <w:rPr>
          <w:rFonts w:ascii="Segoe UI" w:hAnsi="Segoe UI"/>
          <w:b/>
          <w:color w:val="0F172A"/>
          <w:sz w:val="24"/>
        </w:rPr>
        <w:lastRenderedPageBreak/>
        <w:t>6. Conclusion and Future Work</w:t>
      </w:r>
    </w:p>
    <w:p w14:paraId="4A5D3441" w14:textId="77777777" w:rsidR="002D7F6C" w:rsidRDefault="00000000">
      <w:pPr>
        <w:keepNext/>
        <w:spacing w:before="180" w:after="60"/>
      </w:pPr>
      <w:r>
        <w:rPr>
          <w:rFonts w:ascii="Segoe UI" w:hAnsi="Segoe UI"/>
          <w:b/>
          <w:color w:val="0F172A"/>
          <w:sz w:val="20"/>
        </w:rPr>
        <w:t>6.1 Summary of Review-2 Accomplishments</w:t>
      </w:r>
    </w:p>
    <w:p w14:paraId="74AA70F6" w14:textId="77777777" w:rsidR="002D7F6C" w:rsidRDefault="00000000">
      <w:pPr>
        <w:spacing w:after="80"/>
      </w:pPr>
      <w:r>
        <w:rPr>
          <w:rFonts w:ascii="Segoe UI" w:hAnsi="Segoe UI"/>
          <w:color w:val="1E293B"/>
          <w:sz w:val="18"/>
        </w:rPr>
        <w:t xml:space="preserve">The TheraLens project has advanced from an exploratory data engineering state to a verified academic prototype applied machine learning pipeline achieving </w:t>
      </w:r>
      <w:r>
        <w:rPr>
          <w:rFonts w:ascii="Segoe UI" w:hAnsi="Segoe UI"/>
          <w:b/>
          <w:color w:val="1E293B"/>
          <w:sz w:val="18"/>
        </w:rPr>
        <w:t>82.5% completion</w:t>
      </w:r>
      <w:r>
        <w:rPr>
          <w:rFonts w:ascii="Segoe UI" w:hAnsi="Segoe UI"/>
          <w:color w:val="1E293B"/>
          <w:sz w:val="18"/>
        </w:rPr>
        <w:t>:</w:t>
      </w:r>
    </w:p>
    <w:p w14:paraId="49BC74EB" w14:textId="45CDE6C3" w:rsidR="002D7F6C" w:rsidRDefault="00000000" w:rsidP="00A64601">
      <w:pPr>
        <w:pStyle w:val="ListNumber"/>
        <w:numPr>
          <w:ilvl w:val="0"/>
          <w:numId w:val="14"/>
        </w:numPr>
        <w:spacing w:before="20" w:after="40"/>
      </w:pPr>
      <w:r w:rsidRPr="00A64601">
        <w:rPr>
          <w:rFonts w:ascii="Segoe UI" w:hAnsi="Segoe UI"/>
          <w:b/>
          <w:color w:val="1E293B"/>
          <w:sz w:val="18"/>
        </w:rPr>
        <w:t>Deduplicated Clinical Manifold</w:t>
      </w:r>
      <w:r w:rsidRPr="00A64601">
        <w:rPr>
          <w:rFonts w:ascii="Segoe UI" w:hAnsi="Segoe UI"/>
          <w:color w:val="1E293B"/>
          <w:sz w:val="18"/>
        </w:rPr>
        <w:t>: Mitigated 93.87% synthetic identical-row leakage, creating a 304-pattern canonical feature space across 41 classes while acknowledging that this benchmark remains an internal synthetic evaluation.</w:t>
      </w:r>
    </w:p>
    <w:p w14:paraId="5DDE3668" w14:textId="77777777" w:rsidR="002D7F6C" w:rsidRDefault="00000000">
      <w:pPr>
        <w:pStyle w:val="ListNumber"/>
        <w:spacing w:before="20" w:after="40"/>
      </w:pPr>
      <w:r>
        <w:rPr>
          <w:rFonts w:ascii="Segoe UI" w:hAnsi="Segoe UI"/>
          <w:b/>
          <w:color w:val="1E293B"/>
          <w:sz w:val="18"/>
        </w:rPr>
        <w:t>Supervised Classifier Benchmarking</w:t>
      </w:r>
      <w:r>
        <w:rPr>
          <w:rFonts w:ascii="Segoe UI" w:hAnsi="Segoe UI"/>
          <w:color w:val="1E293B"/>
          <w:sz w:val="18"/>
        </w:rPr>
        <w:t>: Observed 1.0000 Accuracy and Macro F1 on the held-out partition of this curated benchmark manifold, framed with explicit disclaimers distinguishing synthetic linear separability from real-world clinical diagnostic generalizability.</w:t>
      </w:r>
    </w:p>
    <w:p w14:paraId="30DA2839" w14:textId="0792E165" w:rsidR="002D7F6C" w:rsidRDefault="00000000">
      <w:pPr>
        <w:pStyle w:val="ListNumber"/>
        <w:spacing w:before="20" w:after="40"/>
      </w:pPr>
      <w:r>
        <w:rPr>
          <w:rFonts w:ascii="Segoe UI" w:hAnsi="Segoe UI"/>
          <w:b/>
          <w:color w:val="1E293B"/>
          <w:sz w:val="18"/>
        </w:rPr>
        <w:t xml:space="preserve">Multi-Attribute Candidate </w:t>
      </w:r>
      <w:r w:rsidR="00F70AF2">
        <w:rPr>
          <w:rFonts w:ascii="Segoe UI" w:hAnsi="Segoe UI"/>
          <w:b/>
          <w:color w:val="1E293B"/>
          <w:sz w:val="18"/>
        </w:rPr>
        <w:t>Prioritisation</w:t>
      </w:r>
      <w:r>
        <w:rPr>
          <w:rFonts w:ascii="Segoe UI" w:hAnsi="Segoe UI"/>
          <w:color w:val="1E293B"/>
          <w:sz w:val="18"/>
        </w:rPr>
        <w:t>: Ranked 25,650 disease-target-molecule pairs using a multi-criteria score integrating Open Targets genetics, pChEMBL potency, Lipinski rules, and global molecule development maturity.</w:t>
      </w:r>
    </w:p>
    <w:p w14:paraId="3C45D086" w14:textId="334D1AD5" w:rsidR="002D7F6C" w:rsidRDefault="00000000">
      <w:pPr>
        <w:pStyle w:val="ListNumber"/>
        <w:spacing w:before="20" w:after="40"/>
      </w:pPr>
      <w:r>
        <w:rPr>
          <w:rFonts w:ascii="Segoe UI" w:hAnsi="Segoe UI"/>
          <w:b/>
          <w:color w:val="1E293B"/>
          <w:sz w:val="18"/>
        </w:rPr>
        <w:t>Epidemiological Outbreak Surveillance</w:t>
      </w:r>
      <w:r>
        <w:rPr>
          <w:rFonts w:ascii="Segoe UI" w:hAnsi="Segoe UI"/>
          <w:color w:val="1E293B"/>
          <w:sz w:val="18"/>
        </w:rPr>
        <w:t xml:space="preserve">: </w:t>
      </w:r>
      <w:r w:rsidR="00F70AF2">
        <w:rPr>
          <w:rFonts w:ascii="Segoe UI" w:hAnsi="Segoe UI"/>
          <w:color w:val="1E293B"/>
          <w:sz w:val="18"/>
        </w:rPr>
        <w:t>Standardised</w:t>
      </w:r>
      <w:r>
        <w:rPr>
          <w:rFonts w:ascii="Segoe UI" w:hAnsi="Segoe UI"/>
          <w:color w:val="1E293B"/>
          <w:sz w:val="18"/>
        </w:rPr>
        <w:t xml:space="preserve"> 5,426 records, detected 224 outbreak surges, and benchmarked time-series models on a 10-year test window where naive persistence (ŷ_{t|t-1} = y_{t-1}, mathematically rendered as </w:t>
      </w:r>
      <w:r>
        <w:rPr>
          <w:rFonts w:ascii="Cambria Math" w:hAnsi="Cambria Math"/>
          <w:i/>
          <w:color w:val="1E293B"/>
          <w:sz w:val="18"/>
        </w:rPr>
        <w:t>^y_t|t-1 = y_t-1</w:t>
      </w:r>
      <w:r>
        <w:rPr>
          <w:rFonts w:ascii="Segoe UI" w:hAnsi="Segoe UI"/>
          <w:color w:val="1E293B"/>
          <w:sz w:val="18"/>
        </w:rPr>
        <w:t>) proved superior under non-stationarity.</w:t>
      </w:r>
    </w:p>
    <w:p w14:paraId="5D5D78E6" w14:textId="77777777" w:rsidR="002D7F6C" w:rsidRDefault="00000000">
      <w:pPr>
        <w:pStyle w:val="ListNumber"/>
        <w:spacing w:before="20" w:after="40"/>
      </w:pPr>
      <w:r>
        <w:rPr>
          <w:rFonts w:ascii="Segoe UI" w:hAnsi="Segoe UI"/>
          <w:b/>
          <w:color w:val="1E293B"/>
          <w:sz w:val="18"/>
        </w:rPr>
        <w:t>Timeline Regulatory Audit</w:t>
      </w:r>
      <w:r>
        <w:rPr>
          <w:rFonts w:ascii="Segoe UI" w:hAnsi="Segoe UI"/>
          <w:color w:val="1E293B"/>
          <w:sz w:val="18"/>
        </w:rPr>
        <w:t xml:space="preserve">: Audited 555k master join rows, resolved an </w:t>
      </w:r>
      <w:r>
        <w:rPr>
          <w:rFonts w:ascii="Cambria Math" w:hAnsi="Cambria Math"/>
          <w:i/>
          <w:color w:val="1E293B"/>
          <w:sz w:val="18"/>
        </w:rPr>
        <w:t>18.25×</w:t>
      </w:r>
      <w:r>
        <w:rPr>
          <w:rFonts w:ascii="Segoe UI" w:hAnsi="Segoe UI"/>
          <w:color w:val="1E293B"/>
          <w:sz w:val="18"/>
        </w:rPr>
        <w:t xml:space="preserve"> Cartesian expansion factor, and separated FDA-approved molecules with a ChEMBL Phase 4 record from investigational indication records.</w:t>
      </w:r>
    </w:p>
    <w:p w14:paraId="65F3EFB0" w14:textId="1C6030C9" w:rsidR="002D7F6C" w:rsidRDefault="00000000">
      <w:pPr>
        <w:pStyle w:val="ListNumber"/>
        <w:spacing w:before="20" w:after="40"/>
      </w:pPr>
      <w:r>
        <w:rPr>
          <w:rFonts w:ascii="Segoe UI" w:hAnsi="Segoe UI"/>
          <w:b/>
          <w:color w:val="1E293B"/>
          <w:sz w:val="18"/>
        </w:rPr>
        <w:t>Development Latency Forecasting</w:t>
      </w:r>
      <w:r>
        <w:rPr>
          <w:rFonts w:ascii="Segoe UI" w:hAnsi="Segoe UI"/>
          <w:color w:val="1E293B"/>
          <w:sz w:val="18"/>
        </w:rPr>
        <w:t xml:space="preserve">: Implemented the DiMasi transition prototype, projecting exploratory decision milestones (2028–2041, confidence windows 2027–2045) under stated assumptions while scientifically </w:t>
      </w:r>
      <w:r w:rsidR="00F70AF2">
        <w:rPr>
          <w:rFonts w:ascii="Segoe UI" w:hAnsi="Segoe UI"/>
          <w:color w:val="1E293B"/>
          <w:sz w:val="18"/>
        </w:rPr>
        <w:t>contextualising</w:t>
      </w:r>
      <w:r>
        <w:rPr>
          <w:rFonts w:ascii="Segoe UI" w:hAnsi="Segoe UI"/>
          <w:color w:val="1E293B"/>
          <w:sz w:val="18"/>
        </w:rPr>
        <w:t xml:space="preserve"> century-scale illustrative headlines.</w:t>
      </w:r>
    </w:p>
    <w:p w14:paraId="5A3F0E80" w14:textId="77777777" w:rsidR="002D7F6C" w:rsidRDefault="00000000">
      <w:pPr>
        <w:pStyle w:val="ListNumber"/>
        <w:spacing w:before="20" w:after="40"/>
      </w:pPr>
      <w:r>
        <w:rPr>
          <w:rFonts w:ascii="Segoe UI" w:hAnsi="Segoe UI"/>
          <w:b/>
          <w:color w:val="1E293B"/>
          <w:sz w:val="18"/>
        </w:rPr>
        <w:t>Explainability &amp; Automated Testing</w:t>
      </w:r>
      <w:r>
        <w:rPr>
          <w:rFonts w:ascii="Segoe UI" w:hAnsi="Segoe UI"/>
          <w:color w:val="1E293B"/>
          <w:sz w:val="18"/>
        </w:rPr>
        <w:t xml:space="preserve">: Validated transparent feature importance and score decomposition, achieving a </w:t>
      </w:r>
      <w:r>
        <w:rPr>
          <w:rFonts w:ascii="Segoe UI" w:hAnsi="Segoe UI"/>
          <w:b/>
          <w:color w:val="1E293B"/>
          <w:sz w:val="18"/>
        </w:rPr>
        <w:t>15/15 (100%) pass rate</w:t>
      </w:r>
      <w:r>
        <w:rPr>
          <w:rFonts w:ascii="Segoe UI" w:hAnsi="Segoe UI"/>
          <w:color w:val="1E293B"/>
          <w:sz w:val="18"/>
        </w:rPr>
        <w:t xml:space="preserve"> on the automated test suite.</w:t>
      </w:r>
    </w:p>
    <w:p w14:paraId="401C1CFE" w14:textId="77777777" w:rsidR="002D7F6C" w:rsidRDefault="00000000">
      <w:pPr>
        <w:keepNext/>
        <w:spacing w:before="180" w:after="60"/>
      </w:pPr>
      <w:r>
        <w:rPr>
          <w:rFonts w:ascii="Segoe UI" w:hAnsi="Segoe UI"/>
          <w:b/>
          <w:color w:val="0F172A"/>
          <w:sz w:val="20"/>
        </w:rPr>
        <w:t>6.2 Future Work for Review-3 (Remaining ~17.5%)</w:t>
      </w:r>
    </w:p>
    <w:p w14:paraId="1191039C" w14:textId="0A7CBDD6" w:rsidR="002D7F6C" w:rsidRDefault="00000000">
      <w:pPr>
        <w:pStyle w:val="ListNumber"/>
        <w:spacing w:before="20" w:after="40"/>
      </w:pPr>
      <w:r>
        <w:rPr>
          <w:rFonts w:ascii="Segoe UI" w:hAnsi="Segoe UI"/>
          <w:b/>
          <w:color w:val="1E293B"/>
          <w:sz w:val="18"/>
        </w:rPr>
        <w:t>Interactive Web Application</w:t>
      </w:r>
      <w:r>
        <w:rPr>
          <w:rFonts w:ascii="Segoe UI" w:hAnsi="Segoe UI"/>
          <w:color w:val="1E293B"/>
          <w:sz w:val="18"/>
        </w:rPr>
        <w:t xml:space="preserve">: Implement a responsive web user interface (using Streamlit or Next.js) enabling interactive symptom selection, differential diagnosis exploration, and candidate </w:t>
      </w:r>
      <w:r w:rsidR="00F70AF2">
        <w:rPr>
          <w:rFonts w:ascii="Segoe UI" w:hAnsi="Segoe UI"/>
          <w:color w:val="1E293B"/>
          <w:sz w:val="18"/>
        </w:rPr>
        <w:t>prioritisation</w:t>
      </w:r>
      <w:r>
        <w:rPr>
          <w:rFonts w:ascii="Segoe UI" w:hAnsi="Segoe UI"/>
          <w:color w:val="1E293B"/>
          <w:sz w:val="18"/>
        </w:rPr>
        <w:t xml:space="preserve"> browsing.</w:t>
      </w:r>
    </w:p>
    <w:p w14:paraId="03442828" w14:textId="77777777" w:rsidR="002D7F6C" w:rsidRDefault="00000000">
      <w:pPr>
        <w:pStyle w:val="ListNumber"/>
        <w:spacing w:before="20" w:after="40"/>
      </w:pPr>
      <w:r>
        <w:rPr>
          <w:rFonts w:ascii="Segoe UI" w:hAnsi="Segoe UI"/>
          <w:b/>
          <w:color w:val="1E293B"/>
          <w:sz w:val="18"/>
        </w:rPr>
        <w:t>Molecular Graph Neural Networks (GNNs)</w:t>
      </w:r>
      <w:r>
        <w:rPr>
          <w:rFonts w:ascii="Segoe UI" w:hAnsi="Segoe UI"/>
          <w:color w:val="1E293B"/>
          <w:sz w:val="18"/>
        </w:rPr>
        <w:t>: Ingest chemical SMILES strings to generate Morgan circular fingerprints and train Graph Neural Networks for direct binding affinity prediction.</w:t>
      </w:r>
    </w:p>
    <w:p w14:paraId="68C527A6" w14:textId="77777777" w:rsidR="002D7F6C" w:rsidRDefault="00000000">
      <w:pPr>
        <w:pStyle w:val="ListNumber"/>
        <w:spacing w:before="20" w:after="40"/>
      </w:pPr>
      <w:r>
        <w:rPr>
          <w:rFonts w:ascii="Segoe UI" w:hAnsi="Segoe UI"/>
          <w:b/>
          <w:color w:val="1E293B"/>
          <w:sz w:val="18"/>
        </w:rPr>
        <w:t>Live ClinicalTrials.gov API Integration</w:t>
      </w:r>
      <w:r>
        <w:rPr>
          <w:rFonts w:ascii="Segoe UI" w:hAnsi="Segoe UI"/>
          <w:color w:val="1E293B"/>
          <w:sz w:val="18"/>
        </w:rPr>
        <w:t>: Connect to real-time clinical trial registries to ingest active Phase 1–3 recruitment dates and dynamically refine transition probability forecasts.</w:t>
      </w:r>
    </w:p>
    <w:p w14:paraId="6E8EF015" w14:textId="77777777" w:rsidR="002D7F6C" w:rsidRDefault="00000000">
      <w:r>
        <w:br w:type="page"/>
      </w:r>
    </w:p>
    <w:p w14:paraId="7C9D523B" w14:textId="77777777" w:rsidR="002D7F6C" w:rsidRDefault="00000000">
      <w:pPr>
        <w:keepNext/>
        <w:spacing w:before="260" w:after="80"/>
      </w:pPr>
      <w:r>
        <w:rPr>
          <w:rFonts w:ascii="Segoe UI" w:hAnsi="Segoe UI"/>
          <w:b/>
          <w:color w:val="0F172A"/>
          <w:sz w:val="24"/>
        </w:rPr>
        <w:lastRenderedPageBreak/>
        <w:t>7. References</w:t>
      </w:r>
    </w:p>
    <w:p w14:paraId="3A68A456" w14:textId="6064EB10" w:rsidR="002D7F6C" w:rsidRDefault="00000000" w:rsidP="00A64601">
      <w:pPr>
        <w:pStyle w:val="ListNumber"/>
        <w:numPr>
          <w:ilvl w:val="0"/>
          <w:numId w:val="15"/>
        </w:numPr>
        <w:spacing w:before="20" w:after="40"/>
      </w:pPr>
      <w:r w:rsidRPr="00A64601">
        <w:rPr>
          <w:rFonts w:ascii="Segoe UI" w:hAnsi="Segoe UI"/>
          <w:b/>
          <w:color w:val="1E293B"/>
          <w:sz w:val="18"/>
        </w:rPr>
        <w:t>Ochoa, D., Hercules, A., Carmona, M., Suveges, D., Gonzalez-Uriarte, A., Malangone, C., ... &amp; Dunham, I.</w:t>
      </w:r>
      <w:r w:rsidRPr="00A64601">
        <w:rPr>
          <w:rFonts w:ascii="Segoe UI" w:hAnsi="Segoe UI"/>
          <w:color w:val="1E293B"/>
          <w:sz w:val="18"/>
        </w:rPr>
        <w:t xml:space="preserve"> (2021). The next-generation Open Targets Platform: reimagined, redesigned, rebuilt. </w:t>
      </w:r>
      <w:r w:rsidRPr="00A64601">
        <w:rPr>
          <w:rFonts w:ascii="Segoe UI" w:hAnsi="Segoe UI"/>
          <w:i/>
          <w:color w:val="1E293B"/>
          <w:sz w:val="18"/>
        </w:rPr>
        <w:t>Nucleic Acids Research</w:t>
      </w:r>
      <w:r w:rsidRPr="00A64601">
        <w:rPr>
          <w:rFonts w:ascii="Segoe UI" w:hAnsi="Segoe UI"/>
          <w:color w:val="1E293B"/>
          <w:sz w:val="18"/>
        </w:rPr>
        <w:t>, 49(D1), D1302–D1310.</w:t>
      </w:r>
    </w:p>
    <w:p w14:paraId="5B75374E" w14:textId="77777777" w:rsidR="002D7F6C" w:rsidRDefault="00000000">
      <w:pPr>
        <w:pStyle w:val="ListNumber"/>
        <w:spacing w:before="20" w:after="40"/>
      </w:pPr>
      <w:r>
        <w:rPr>
          <w:rFonts w:ascii="Segoe UI" w:hAnsi="Segoe UI"/>
          <w:b/>
          <w:color w:val="1E293B"/>
          <w:sz w:val="18"/>
        </w:rPr>
        <w:t>Mendez, D., Gaulton, A., Bento, A. P., Chambers, J., De Veij, M., Félix, E., ... &amp; Leach, A. R.</w:t>
      </w:r>
      <w:r>
        <w:rPr>
          <w:rFonts w:ascii="Segoe UI" w:hAnsi="Segoe UI"/>
          <w:color w:val="1E293B"/>
          <w:sz w:val="18"/>
        </w:rPr>
        <w:t xml:space="preserve"> (2019). ChEMBL: towards direct deposition of bioassay data. </w:t>
      </w:r>
      <w:r>
        <w:rPr>
          <w:rFonts w:ascii="Segoe UI" w:hAnsi="Segoe UI"/>
          <w:i/>
          <w:color w:val="1E293B"/>
          <w:sz w:val="18"/>
        </w:rPr>
        <w:t>Nucleic Acids Research</w:t>
      </w:r>
      <w:r>
        <w:rPr>
          <w:rFonts w:ascii="Segoe UI" w:hAnsi="Segoe UI"/>
          <w:color w:val="1E293B"/>
          <w:sz w:val="18"/>
        </w:rPr>
        <w:t>, 47(D1), D930–D940.</w:t>
      </w:r>
    </w:p>
    <w:p w14:paraId="3AD790CA" w14:textId="77777777" w:rsidR="002D7F6C" w:rsidRDefault="00000000">
      <w:pPr>
        <w:pStyle w:val="ListNumber"/>
        <w:spacing w:before="20" w:after="40"/>
      </w:pPr>
      <w:r>
        <w:rPr>
          <w:rFonts w:ascii="Segoe UI" w:hAnsi="Segoe UI"/>
          <w:b/>
          <w:color w:val="1E293B"/>
          <w:sz w:val="18"/>
        </w:rPr>
        <w:t>DiMasi, J. A., Grabowski, H. G., &amp; Hansen, R. W.</w:t>
      </w:r>
      <w:r>
        <w:rPr>
          <w:rFonts w:ascii="Segoe UI" w:hAnsi="Segoe UI"/>
          <w:color w:val="1E293B"/>
          <w:sz w:val="18"/>
        </w:rPr>
        <w:t xml:space="preserve"> (2016). Innovation in the pharmaceutical industry: New estimates of R&amp;D costs. </w:t>
      </w:r>
      <w:r>
        <w:rPr>
          <w:rFonts w:ascii="Segoe UI" w:hAnsi="Segoe UI"/>
          <w:i/>
          <w:color w:val="1E293B"/>
          <w:sz w:val="18"/>
        </w:rPr>
        <w:t>Journal of Health Economics</w:t>
      </w:r>
      <w:r>
        <w:rPr>
          <w:rFonts w:ascii="Segoe UI" w:hAnsi="Segoe UI"/>
          <w:color w:val="1E293B"/>
          <w:sz w:val="18"/>
        </w:rPr>
        <w:t>, 47, 20–33.</w:t>
      </w:r>
    </w:p>
    <w:p w14:paraId="7ADA6CF9" w14:textId="77777777" w:rsidR="002D7F6C" w:rsidRDefault="00000000">
      <w:pPr>
        <w:pStyle w:val="ListNumber"/>
        <w:spacing w:before="20" w:after="40"/>
      </w:pPr>
      <w:r>
        <w:rPr>
          <w:rFonts w:ascii="Segoe UI" w:hAnsi="Segoe UI"/>
          <w:b/>
          <w:color w:val="1E293B"/>
          <w:sz w:val="18"/>
        </w:rPr>
        <w:t>DiMasi, J. A., Hansen, R. W., &amp; Grabowski, H. G.</w:t>
      </w:r>
      <w:r>
        <w:rPr>
          <w:rFonts w:ascii="Segoe UI" w:hAnsi="Segoe UI"/>
          <w:color w:val="1E293B"/>
          <w:sz w:val="18"/>
        </w:rPr>
        <w:t xml:space="preserve"> (2003). The price of innovation: new estimates of drug development costs. </w:t>
      </w:r>
      <w:r>
        <w:rPr>
          <w:rFonts w:ascii="Segoe UI" w:hAnsi="Segoe UI"/>
          <w:i/>
          <w:color w:val="1E293B"/>
          <w:sz w:val="18"/>
        </w:rPr>
        <w:t>Journal of Health Economics</w:t>
      </w:r>
      <w:r>
        <w:rPr>
          <w:rFonts w:ascii="Segoe UI" w:hAnsi="Segoe UI"/>
          <w:color w:val="1E293B"/>
          <w:sz w:val="18"/>
        </w:rPr>
        <w:t>, 22(2), 151–185.</w:t>
      </w:r>
    </w:p>
    <w:p w14:paraId="28937343" w14:textId="77777777" w:rsidR="002D7F6C" w:rsidRDefault="00000000">
      <w:pPr>
        <w:pStyle w:val="ListNumber"/>
        <w:spacing w:before="20" w:after="40"/>
      </w:pPr>
      <w:r>
        <w:rPr>
          <w:rFonts w:ascii="Segoe UI" w:hAnsi="Segoe UI"/>
          <w:b/>
          <w:color w:val="1E293B"/>
          <w:sz w:val="18"/>
        </w:rPr>
        <w:t>Hay, M., Thomas, D. W., Craighead, J. L., Economides, C., &amp; Rosenthal, J.</w:t>
      </w:r>
      <w:r>
        <w:rPr>
          <w:rFonts w:ascii="Segoe UI" w:hAnsi="Segoe UI"/>
          <w:color w:val="1E293B"/>
          <w:sz w:val="18"/>
        </w:rPr>
        <w:t xml:space="preserve"> (2014). Clinical development success rates for investigational drugs. </w:t>
      </w:r>
      <w:r>
        <w:rPr>
          <w:rFonts w:ascii="Segoe UI" w:hAnsi="Segoe UI"/>
          <w:i/>
          <w:color w:val="1E293B"/>
          <w:sz w:val="18"/>
        </w:rPr>
        <w:t>Nature Biotechnology</w:t>
      </w:r>
      <w:r>
        <w:rPr>
          <w:rFonts w:ascii="Segoe UI" w:hAnsi="Segoe UI"/>
          <w:color w:val="1E293B"/>
          <w:sz w:val="18"/>
        </w:rPr>
        <w:t>, 32(1), 40–51.</w:t>
      </w:r>
    </w:p>
    <w:p w14:paraId="3BB98CE9" w14:textId="77777777" w:rsidR="002D7F6C" w:rsidRDefault="00000000">
      <w:pPr>
        <w:pStyle w:val="ListNumber"/>
        <w:spacing w:before="20" w:after="40"/>
      </w:pPr>
      <w:r>
        <w:rPr>
          <w:rFonts w:ascii="Segoe UI" w:hAnsi="Segoe UI"/>
          <w:b/>
          <w:color w:val="1E293B"/>
          <w:sz w:val="18"/>
        </w:rPr>
        <w:t>Lipinski, C. A., Lombardo, F., Dominy, B. W., &amp; Feeney, P. J.</w:t>
      </w:r>
      <w:r>
        <w:rPr>
          <w:rFonts w:ascii="Segoe UI" w:hAnsi="Segoe UI"/>
          <w:color w:val="1E293B"/>
          <w:sz w:val="18"/>
        </w:rPr>
        <w:t xml:space="preserve"> (2001). Experimental and computational approaches to estimate solubility and permeability in drug discovery and development settings. </w:t>
      </w:r>
      <w:r>
        <w:rPr>
          <w:rFonts w:ascii="Segoe UI" w:hAnsi="Segoe UI"/>
          <w:i/>
          <w:color w:val="1E293B"/>
          <w:sz w:val="18"/>
        </w:rPr>
        <w:t>Advanced Drug Delivery Reviews</w:t>
      </w:r>
      <w:r>
        <w:rPr>
          <w:rFonts w:ascii="Segoe UI" w:hAnsi="Segoe UI"/>
          <w:color w:val="1E293B"/>
          <w:sz w:val="18"/>
        </w:rPr>
        <w:t>, 46(1–3), 3–26.</w:t>
      </w:r>
    </w:p>
    <w:p w14:paraId="585F89A1" w14:textId="77777777" w:rsidR="002D7F6C" w:rsidRDefault="00000000">
      <w:pPr>
        <w:pStyle w:val="ListNumber"/>
        <w:spacing w:before="20" w:after="40"/>
      </w:pPr>
      <w:r>
        <w:rPr>
          <w:rFonts w:ascii="Segoe UI" w:hAnsi="Segoe UI"/>
          <w:b/>
          <w:color w:val="1E293B"/>
          <w:sz w:val="18"/>
        </w:rPr>
        <w:t>Veber, D. F., Johnson, S. R., Cheng, H. Y., Smith, B. R., Ward, K. W., &amp; Kopple, K. D.</w:t>
      </w:r>
      <w:r>
        <w:rPr>
          <w:rFonts w:ascii="Segoe UI" w:hAnsi="Segoe UI"/>
          <w:color w:val="1E293B"/>
          <w:sz w:val="18"/>
        </w:rPr>
        <w:t xml:space="preserve"> (2002). Molecular properties that influence the oral bioavailability of drug candidates. </w:t>
      </w:r>
      <w:r>
        <w:rPr>
          <w:rFonts w:ascii="Segoe UI" w:hAnsi="Segoe UI"/>
          <w:i/>
          <w:color w:val="1E293B"/>
          <w:sz w:val="18"/>
        </w:rPr>
        <w:t>Journal of Medicinal Chemistry</w:t>
      </w:r>
      <w:r>
        <w:rPr>
          <w:rFonts w:ascii="Segoe UI" w:hAnsi="Segoe UI"/>
          <w:color w:val="1E293B"/>
          <w:sz w:val="18"/>
        </w:rPr>
        <w:t>, 45(12), 2615–2623.</w:t>
      </w:r>
    </w:p>
    <w:p w14:paraId="642FCE29" w14:textId="77777777" w:rsidR="002D7F6C" w:rsidRDefault="00000000">
      <w:pPr>
        <w:pStyle w:val="ListNumber"/>
        <w:spacing w:before="20" w:after="40"/>
      </w:pPr>
      <w:r>
        <w:rPr>
          <w:rFonts w:ascii="Segoe UI" w:hAnsi="Segoe UI"/>
          <w:b/>
          <w:color w:val="1E293B"/>
          <w:sz w:val="18"/>
        </w:rPr>
        <w:t>Pedregosa, F., Varoquaux, G., Gramfort, A., Michel, V., Thirion, B., Grisel, O., ... &amp; Duchesnay, É.</w:t>
      </w:r>
      <w:r>
        <w:rPr>
          <w:rFonts w:ascii="Segoe UI" w:hAnsi="Segoe UI"/>
          <w:color w:val="1E293B"/>
          <w:sz w:val="18"/>
        </w:rPr>
        <w:t xml:space="preserve"> (2011). Scikit-learn: Machine Learning in Python. </w:t>
      </w:r>
      <w:r>
        <w:rPr>
          <w:rFonts w:ascii="Segoe UI" w:hAnsi="Segoe UI"/>
          <w:i/>
          <w:color w:val="1E293B"/>
          <w:sz w:val="18"/>
        </w:rPr>
        <w:t>Journal of Machine Learning Research</w:t>
      </w:r>
      <w:r>
        <w:rPr>
          <w:rFonts w:ascii="Segoe UI" w:hAnsi="Segoe UI"/>
          <w:color w:val="1E293B"/>
          <w:sz w:val="18"/>
        </w:rPr>
        <w:t>, 12, 2825–2830.</w:t>
      </w:r>
    </w:p>
    <w:p w14:paraId="1904F195" w14:textId="07206A2E" w:rsidR="002D7F6C" w:rsidRDefault="00000000">
      <w:pPr>
        <w:pStyle w:val="ListNumber"/>
        <w:spacing w:before="20" w:after="40"/>
      </w:pPr>
      <w:r>
        <w:rPr>
          <w:rFonts w:ascii="Segoe UI" w:hAnsi="Segoe UI"/>
          <w:b/>
          <w:color w:val="1E293B"/>
          <w:sz w:val="18"/>
        </w:rPr>
        <w:t xml:space="preserve">World Health </w:t>
      </w:r>
      <w:r w:rsidR="00F70AF2">
        <w:rPr>
          <w:rFonts w:ascii="Segoe UI" w:hAnsi="Segoe UI"/>
          <w:b/>
          <w:color w:val="1E293B"/>
          <w:sz w:val="18"/>
        </w:rPr>
        <w:t>Organisation</w:t>
      </w:r>
      <w:r>
        <w:rPr>
          <w:rFonts w:ascii="Segoe UI" w:hAnsi="Segoe UI"/>
          <w:b/>
          <w:color w:val="1E293B"/>
          <w:sz w:val="18"/>
        </w:rPr>
        <w:t xml:space="preserve"> (WHO)</w:t>
      </w:r>
      <w:r>
        <w:rPr>
          <w:rFonts w:ascii="Segoe UI" w:hAnsi="Segoe UI"/>
          <w:color w:val="1E293B"/>
          <w:sz w:val="18"/>
        </w:rPr>
        <w:t xml:space="preserve">. (2024). Global Health Observatory Data Repository: Measles, Yellow Fever, and Cholera Surveillance. Geneva: World Health </w:t>
      </w:r>
      <w:r w:rsidR="00F70AF2">
        <w:rPr>
          <w:rFonts w:ascii="Segoe UI" w:hAnsi="Segoe UI"/>
          <w:color w:val="1E293B"/>
          <w:sz w:val="18"/>
        </w:rPr>
        <w:t>Organisation</w:t>
      </w:r>
      <w:r>
        <w:rPr>
          <w:rFonts w:ascii="Segoe UI" w:hAnsi="Segoe UI"/>
          <w:color w:val="1E293B"/>
          <w:sz w:val="18"/>
        </w:rPr>
        <w:t>.</w:t>
      </w:r>
    </w:p>
    <w:p w14:paraId="6DB4B02D" w14:textId="17DF4628" w:rsidR="002D7F6C" w:rsidRDefault="00000000">
      <w:pPr>
        <w:pStyle w:val="ListNumber"/>
        <w:spacing w:before="20" w:after="40"/>
      </w:pPr>
      <w:r>
        <w:rPr>
          <w:rFonts w:ascii="Segoe UI" w:hAnsi="Segoe UI"/>
          <w:b/>
          <w:color w:val="1E293B"/>
          <w:sz w:val="18"/>
        </w:rPr>
        <w:t>U.S. Food and Drug Administration (FDA)</w:t>
      </w:r>
      <w:r>
        <w:rPr>
          <w:rFonts w:ascii="Segoe UI" w:hAnsi="Segoe UI"/>
          <w:color w:val="1E293B"/>
          <w:sz w:val="18"/>
        </w:rPr>
        <w:t xml:space="preserve">. (2024). Drugs@FDA Data Files: Approved Drug Products with Therapeutic Equivalence Evaluations. Silver Spring, MD: FDA </w:t>
      </w:r>
      <w:r w:rsidR="00F70AF2">
        <w:rPr>
          <w:rFonts w:ascii="Segoe UI" w:hAnsi="Segoe UI"/>
          <w:color w:val="1E293B"/>
          <w:sz w:val="18"/>
        </w:rPr>
        <w:t>Centre</w:t>
      </w:r>
      <w:r>
        <w:rPr>
          <w:rFonts w:ascii="Segoe UI" w:hAnsi="Segoe UI"/>
          <w:color w:val="1E293B"/>
          <w:sz w:val="18"/>
        </w:rPr>
        <w:t xml:space="preserve"> for Drug Evaluation and Research.</w:t>
      </w:r>
    </w:p>
    <w:sectPr w:rsidR="002D7F6C" w:rsidSect="00034616">
      <w:headerReference w:type="default" r:id="rId29"/>
      <w:footerReference w:type="default" r:id="rId30"/>
      <w:pgSz w:w="11909" w:h="16834"/>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2663D" w14:textId="77777777" w:rsidR="00720A6B" w:rsidRDefault="00720A6B">
      <w:pPr>
        <w:spacing w:after="0" w:line="240" w:lineRule="auto"/>
      </w:pPr>
      <w:r>
        <w:separator/>
      </w:r>
    </w:p>
  </w:endnote>
  <w:endnote w:type="continuationSeparator" w:id="0">
    <w:p w14:paraId="675F119F" w14:textId="77777777" w:rsidR="00720A6B" w:rsidRDefault="00720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F278" w14:textId="77777777" w:rsidR="002D7F6C" w:rsidRDefault="00000000">
    <w:pPr>
      <w:pStyle w:val="Footer"/>
      <w:jc w:val="right"/>
    </w:pPr>
    <w:r>
      <w:rPr>
        <w:rFonts w:ascii="Segoe UI" w:hAnsi="Segoe UI"/>
        <w:color w:val="64748B"/>
        <w:sz w:val="16"/>
      </w:rPr>
      <w:t xml:space="preserve">TheraLens: Review-2 Evaluation Report • Applied Machine Learning   |   Page </w:t>
    </w:r>
    <w:r>
      <w:fldChar w:fldCharType="begin"/>
    </w:r>
    <w:r>
      <w:instrText>PAGE</w:instrText>
    </w:r>
    <w:r>
      <w:fldChar w:fldCharType="separate"/>
    </w:r>
    <w:r w:rsidR="00624455">
      <w:rPr>
        <w:noProof/>
      </w:rPr>
      <w:t>2</w:t>
    </w:r>
    <w:r>
      <w:fldChar w:fldCharType="end"/>
    </w:r>
    <w:r>
      <w:rPr>
        <w:rFonts w:ascii="Segoe UI" w:hAnsi="Segoe UI"/>
        <w:color w:val="64748B"/>
        <w:sz w:val="16"/>
      </w:rPr>
      <w:t xml:space="preserve"> of </w:t>
    </w:r>
    <w:r>
      <w:fldChar w:fldCharType="begin"/>
    </w:r>
    <w:r>
      <w:instrText>NUMPAGES</w:instrText>
    </w:r>
    <w:r>
      <w:fldChar w:fldCharType="separate"/>
    </w:r>
    <w:r w:rsidR="0062445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083B4" w14:textId="77777777" w:rsidR="00720A6B" w:rsidRDefault="00720A6B">
      <w:pPr>
        <w:spacing w:after="0" w:line="240" w:lineRule="auto"/>
      </w:pPr>
      <w:r>
        <w:separator/>
      </w:r>
    </w:p>
  </w:footnote>
  <w:footnote w:type="continuationSeparator" w:id="0">
    <w:p w14:paraId="693A8125" w14:textId="77777777" w:rsidR="00720A6B" w:rsidRDefault="00720A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BC5D5" w14:textId="77777777" w:rsidR="002D7F6C" w:rsidRDefault="00000000">
    <w:pPr>
      <w:pStyle w:val="Header"/>
      <w:jc w:val="right"/>
    </w:pPr>
    <w:r>
      <w:rPr>
        <w:rFonts w:ascii="Segoe UI" w:hAnsi="Segoe UI"/>
        <w:color w:val="64748B"/>
        <w:sz w:val="16"/>
      </w:rPr>
      <w:t>TheraLens: College Review-2 Evaluation Report   |   Applied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6469682">
    <w:abstractNumId w:val="8"/>
  </w:num>
  <w:num w:numId="2" w16cid:durableId="1994984170">
    <w:abstractNumId w:val="6"/>
  </w:num>
  <w:num w:numId="3" w16cid:durableId="764956793">
    <w:abstractNumId w:val="5"/>
  </w:num>
  <w:num w:numId="4" w16cid:durableId="403836404">
    <w:abstractNumId w:val="4"/>
  </w:num>
  <w:num w:numId="5" w16cid:durableId="2078626621">
    <w:abstractNumId w:val="7"/>
  </w:num>
  <w:num w:numId="6" w16cid:durableId="726683539">
    <w:abstractNumId w:val="3"/>
  </w:num>
  <w:num w:numId="7" w16cid:durableId="1957828322">
    <w:abstractNumId w:val="2"/>
  </w:num>
  <w:num w:numId="8" w16cid:durableId="401677055">
    <w:abstractNumId w:val="1"/>
  </w:num>
  <w:num w:numId="9" w16cid:durableId="1906986108">
    <w:abstractNumId w:val="0"/>
  </w:num>
  <w:num w:numId="10" w16cid:durableId="475953451">
    <w:abstractNumId w:val="7"/>
    <w:lvlOverride w:ilvl="0">
      <w:startOverride w:val="1"/>
    </w:lvlOverride>
  </w:num>
  <w:num w:numId="11" w16cid:durableId="1429883375">
    <w:abstractNumId w:val="7"/>
    <w:lvlOverride w:ilvl="0">
      <w:startOverride w:val="1"/>
    </w:lvlOverride>
  </w:num>
  <w:num w:numId="12" w16cid:durableId="946428585">
    <w:abstractNumId w:val="7"/>
    <w:lvlOverride w:ilvl="0">
      <w:startOverride w:val="1"/>
    </w:lvlOverride>
  </w:num>
  <w:num w:numId="13" w16cid:durableId="908033220">
    <w:abstractNumId w:val="7"/>
    <w:lvlOverride w:ilvl="0">
      <w:startOverride w:val="1"/>
    </w:lvlOverride>
  </w:num>
  <w:num w:numId="14" w16cid:durableId="1419062471">
    <w:abstractNumId w:val="7"/>
    <w:lvlOverride w:ilvl="0">
      <w:startOverride w:val="1"/>
    </w:lvlOverride>
  </w:num>
  <w:num w:numId="15" w16cid:durableId="101338616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F6C"/>
    <w:rsid w:val="00326F90"/>
    <w:rsid w:val="003A69E0"/>
    <w:rsid w:val="00624455"/>
    <w:rsid w:val="00695DB0"/>
    <w:rsid w:val="00720A6B"/>
    <w:rsid w:val="0098421A"/>
    <w:rsid w:val="00A64601"/>
    <w:rsid w:val="00AA1D8D"/>
    <w:rsid w:val="00B47730"/>
    <w:rsid w:val="00CB0664"/>
    <w:rsid w:val="00F70A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3A314"/>
  <w14:defaultImageDpi w14:val="300"/>
  <w15:docId w15:val="{14D74B2E-2518-49E8-B749-F7C48B2B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A646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24</Pages>
  <Words>7474</Words>
  <Characters>42608</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Yuvaresh Srinivasan</cp:lastModifiedBy>
  <cp:revision>2</cp:revision>
  <cp:lastPrinted>2026-10-11T17:45:00Z</cp:lastPrinted>
  <dcterms:created xsi:type="dcterms:W3CDTF">2013-12-23T23:15:00Z</dcterms:created>
  <dcterms:modified xsi:type="dcterms:W3CDTF">2026-10-11T17:55:00Z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1b8fe3a2944a6fc1800315ffad3c305fb5adc0a6a4f84952ffa5a35b8a561f0c</vt:lpwstr>
  </property>
</Properties>
</file>