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Problem Definition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The problem at hand is to accurately measure and monitor energy consumption in various settings, such as residential, commercial, and industrial sectors. Accurate energy consumption measurement is crucial for several reasons, including environmental sustainability, cost management, and regulatory compliance. This problem definition outlines the key aspects and challenges associated with measuring energy consumption.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Design Thinking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 Empathize: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 User Research: Begin by conducting extensive research to understand the needs, pain points, and behaviors of different stakeholders, including residential consumers, businesses, and energy utilities. Consider their motivations, challenges, and attitudes toward energy consumption.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 Interviews and Surveys: Conduct interviews and surveys to gather insights directly from users. Ask about their current methods of measuring and managing energy consumption, as well as their frustrations and desires.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 Observation: Observe users in their real-life contexts to gain deeper insights into their energy consumption habits and the challenges they face.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Define: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Problem Statement: Based on your research, define a clear problem statement that encapsulates the challenges and opportunities related to measuring energy consumption. For example, "How might we create a user-friendly and cost-effective solution for tracking and reducing energy consumption in residential households?"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b. User Personas: Create user personas that represent the different types of users you've identified, including their needs, goals, and pain points.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Ideate: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Brainstorming: Conduct brainstorming sessions with a cross-functional team to generate creative ideas for measuring and managing energy consumption. Encourage wild ideas and avoid premature judgment.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Prototype:</w:t>
      </w:r>
    </w:p>
    <w:p w:rsidR="00000000" w:rsidDel="00000000" w:rsidP="00000000" w:rsidRDefault="00000000" w:rsidRPr="00000000" w14:paraId="0000001A">
      <w:pPr>
        <w:rPr>
          <w:sz w:val="24"/>
          <w:szCs w:val="24"/>
        </w:rPr>
      </w:pPr>
      <w:r w:rsidDel="00000000" w:rsidR="00000000" w:rsidRPr="00000000">
        <w:rPr>
          <w:sz w:val="24"/>
          <w:szCs w:val="24"/>
          <w:rtl w:val="0"/>
        </w:rPr>
        <w:t xml:space="preserve">Prototyping: Create low-fidelity prototypes of your energy consumption measurement solution. This could be sketches, wireframes, or even physical mock-ups of hardware components.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 Test: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Real-World Testing: Implement a pilot program or deploy a limited version of your solution in a real-world setting to assess its performance and gather data on energy consumption.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b. Data Analysis: Analyze the data collected to determine the effectiveness of your solution in accurately measuring and reducing energy consumption.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Implement: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 Full-Scale Deployment: Roll out your energy consumption measurement solution on a larger scale, taking into account the lessons learned during testing and iteration.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b. Marketing and Education: Develop marketing and educational materials to promote the benefits of your solution to users and encourage them to adopt energy-efficient behaviors.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Monitor and Maintain: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 Continuous Monitoring: Continuously monitor the performance of your solution and gather user feedback to address any issues and make necessary updates.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