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sz w:val="32"/>
          <w:szCs w:val="32"/>
        </w:rPr>
        <w:t xml:space="preserve">Flight Delay Analytics Using Python</w:t>
      </w:r>
    </w:p>
    <w:p>
      <w:pPr>
        <w:spacing w:after="300"/>
      </w:pPr>
      <w:r>
        <w:rPr>
          <w:b/>
          <w:bCs/>
          <w:sz w:val="26"/>
          <w:szCs w:val="26"/>
        </w:rPr>
        <w:t xml:space="preserve">Sprint 3: Advanced Statistics &amp; Feature Engineering</w:t>
      </w:r>
    </w:p>
    <w:p>
      <w:pPr>
        <w:spacing w:after="160"/>
      </w:pPr>
      <w:r>
        <w:rPr>
          <w:b/>
          <w:bCs/>
        </w:rPr>
        <w:t xml:space="preserve">Name: </w:t>
      </w:r>
      <w:r>
        <w:t xml:space="preserve">N. Yuvaraj</w:t>
      </w:r>
    </w:p>
    <w:p>
      <w:pPr>
        <w:spacing w:after="160"/>
      </w:pPr>
      <w:r>
        <w:rPr>
          <w:b/>
          <w:bCs/>
        </w:rPr>
        <w:t xml:space="preserve">Batch: </w:t>
      </w:r>
      <w:r>
        <w:t xml:space="preserve">544-A</w:t>
      </w:r>
    </w:p>
    <w:p>
      <w:pPr>
        <w:spacing w:after="160"/>
      </w:pPr>
      <w:r>
        <w:rPr>
          <w:b/>
          <w:bCs/>
        </w:rPr>
        <w:t xml:space="preserve">Dataset: </w:t>
      </w:r>
      <w:r>
        <w:t xml:space="preserve">Flight_Delays_Cleaned_v2.csv (input) / Flight_Delays_Feature_Engineered.csv (output)</w:t>
      </w:r>
    </w:p>
    <w:p>
      <w:pPr>
        <w:spacing w:after="80"/>
      </w:pPr>
    </w:p>
    <w:p>
      <w:pPr>
        <w:pStyle w:val="Heading1"/>
        <w:spacing w:after="160" w:before="360"/>
      </w:pPr>
      <w:r>
        <w:t xml:space="preserve">Table of Contents</w:t>
      </w:r>
    </w:p>
    <w:p>
      <w:pPr>
        <w:spacing w:after="160"/>
      </w:pPr>
      <w:r>
        <w:t xml:space="preserve">Sprint Goal &amp; Analytical Approach</w:t>
      </w:r>
    </w:p>
    <w:p>
      <w:pPr>
        <w:spacing w:after="160"/>
      </w:pPr>
      <w:r>
        <w:t xml:space="preserve">Dataset Context</w:t>
      </w:r>
    </w:p>
    <w:p>
      <w:pPr>
        <w:spacing w:after="160"/>
      </w:pPr>
      <w:r>
        <w:t xml:space="preserve">Statistical Analysis</w:t>
      </w:r>
    </w:p>
    <w:p>
      <w:pPr>
        <w:spacing w:after="160"/>
      </w:pPr>
      <w:r>
        <w:t xml:space="preserve">Hypothesis Testing</w:t>
      </w:r>
    </w:p>
    <w:p>
      <w:pPr>
        <w:spacing w:after="160"/>
      </w:pPr>
      <w:r>
        <w:t xml:space="preserve">Confidence Interval Analysis</w:t>
      </w:r>
    </w:p>
    <w:p>
      <w:pPr>
        <w:spacing w:after="160"/>
      </w:pPr>
      <w:r>
        <w:t xml:space="preserve">Feature Engineering</w:t>
      </w:r>
    </w:p>
    <w:p>
      <w:pPr>
        <w:spacing w:after="160"/>
      </w:pPr>
      <w:r>
        <w:t xml:space="preserve">Feature Evaluation</w:t>
      </w:r>
    </w:p>
    <w:p>
      <w:pPr>
        <w:spacing w:after="160"/>
      </w:pPr>
      <w:r>
        <w:t xml:space="preserve">Final Business Recommendations</w:t>
      </w:r>
    </w:p>
    <w:p>
      <w:pPr>
        <w:spacing w:after="160"/>
      </w:pPr>
      <w:r>
        <w:t xml:space="preserve">Limitations &amp; Considerations</w:t>
      </w:r>
    </w:p>
    <w:p>
      <w:pPr>
        <w:spacing w:after="160"/>
      </w:pPr>
      <w:r>
        <w:t xml:space="preserve">Conclusion</w:t>
      </w:r>
    </w:p>
    <w:p>
      <w:pPr>
        <w:spacing w:after="160"/>
      </w:pPr>
      <w:r>
        <w:t xml:space="preserve">Sprint 3 Deliverables</w:t>
      </w:r>
    </w:p>
    <w:p>
      <w:pPr>
        <w:pStyle w:val="Heading1"/>
        <w:spacing w:after="160" w:before="360"/>
      </w:pPr>
      <w:r>
        <w:t xml:space="preserve">Sprint Goal &amp; Analytical Approach</w:t>
      </w:r>
    </w:p>
    <w:p>
      <w:pPr>
        <w:spacing w:after="160"/>
      </w:pPr>
      <w:r>
        <w:t xml:space="preserve">Sprint 2 identified a set of patterns from the data — which airlines run late, which months are worse, and which operational factors move together with delay. None of those findings were tested to see whether they could plausibly have happened by chance. The purpose of this sprint is to close that gap: validate the Sprint 2 findings using formal statistical tests, quantify uncertainty around the key averages, and turn the raw columns into engineered features that make delay risk usable at the level of a single flight rather than only at the level of an airline or a month.</w:t>
      </w:r>
    </w:p>
    <w:p>
      <w:pPr>
        <w:spacing w:after="160"/>
      </w:pPr>
      <w:r>
        <w:t xml:space="preserve">This structure mirrors the Sprint 3 requirements — Statistical Analysis, Hypothesis Testing, Confidence Interval Analysis, Feature Engineering, Feature Evaluation, and Final Business Recommendations — and, in keeping with the same approach used in the Sprint 2 report, each section below explains why a particular test or feature was chosen and what it means for the business, rather than only restating the code and its output.</w:t>
      </w:r>
    </w:p>
    <w:p>
      <w:pPr>
        <w:pStyle w:val="Heading1"/>
        <w:spacing w:after="160" w:before="360"/>
      </w:pPr>
      <w:r>
        <w:t xml:space="preserve">Dataset Context</w:t>
      </w:r>
    </w:p>
    <w:p>
      <w:pPr>
        <w:spacing w:after="160"/>
      </w:pPr>
      <w:r>
        <w:t xml:space="preserve">This sprint builds directly on Flight_Delays_Cleaned_v2.csv, the same validated 50,000-row, 30-column dataset used in Sprint 2. Because the data was already cleaned and explored in the previous two sprints, this sprint does not repeat any cleaning steps — it assumes the dataset is trustworthy and focuses entirely on statistical validation and feature construction. The output of this sprint, Flight_Delays_Feature_Engineered.csv, adds eight new columns on top of the Sprint 1 dataset and is the version that would be handed off for any predictive modelling work beyond this project.</w:t>
      </w:r>
    </w:p>
    <w:p>
      <w:pPr>
        <w:pStyle w:val="Heading1"/>
        <w:spacing w:after="160" w:before="360"/>
      </w:pPr>
      <w:r>
        <w:t xml:space="preserve">Statistical Analysis</w:t>
      </w:r>
    </w:p>
    <w:p>
      <w:pPr>
        <w:spacing w:after="160"/>
      </w:pPr>
      <w:r>
        <w:t xml:space="preserve">Before running any hypothesis test, the numerical columns were re-summarised using central tendency, dispersion, skewness, correlation, and covariance. This step matters here for a different reason than in Sprint 2: hypothesis tests like the t-test and ANOVA carry assumptions about the underlying data (e.g. how spread out and how symmetric it is), so this section exists to confirm those assumptions are understood before they're relied on, rather than to introduce new descriptive findings.</w:t>
      </w:r>
    </w:p>
    <w:p>
      <w:pPr>
        <w:pStyle w:val="Heading2"/>
        <w:spacing w:after="120" w:before="280"/>
      </w:pPr>
      <w:r>
        <w:t xml:space="preserve">Central Tendency and Dispersion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404"/>
        <w:gridCol w:w="1404"/>
        <w:gridCol w:w="1404"/>
        <w:gridCol w:w="1498"/>
        <w:gridCol w:w="1404"/>
      </w:tblGrid>
      <w:tr>
        <w:trPr>
          <w:tblHeader/>
        </w:trPr>
        <w:tc>
          <w:tcPr>
            <w:tcW w:type="dxa" w:w="2246"/>
            <w:shd w:fill="1F3864" w:val="clear"/>
            <w:tcMar>
              <w:top w:type="dxa" w:w="80"/>
              <w:left w:type="dxa" w:w="100"/>
              <w:bottom w:type="dxa" w:w="80"/>
              <w:right w:type="dxa" w:w="100"/>
            </w:tcMar>
            <w:vAlign w:val="center"/>
          </w:tcPr>
          <w:p>
            <w:r>
              <w:rPr>
                <w:b/>
                <w:bCs/>
                <w:color w:val="FFFFFF"/>
                <w:sz w:val="20"/>
                <w:szCs w:val="20"/>
              </w:rPr>
              <w:t xml:space="preserve">Feature</w:t>
            </w:r>
          </w:p>
        </w:tc>
        <w:tc>
          <w:tcPr>
            <w:tcW w:type="dxa" w:w="1404"/>
            <w:shd w:fill="1F3864" w:val="clear"/>
            <w:tcMar>
              <w:top w:type="dxa" w:w="80"/>
              <w:left w:type="dxa" w:w="100"/>
              <w:bottom w:type="dxa" w:w="80"/>
              <w:right w:type="dxa" w:w="100"/>
            </w:tcMar>
            <w:vAlign w:val="center"/>
          </w:tcPr>
          <w:p>
            <w:r>
              <w:rPr>
                <w:b/>
                <w:bCs/>
                <w:color w:val="FFFFFF"/>
                <w:sz w:val="20"/>
                <w:szCs w:val="20"/>
              </w:rPr>
              <w:t xml:space="preserve">Mean</w:t>
            </w:r>
          </w:p>
        </w:tc>
        <w:tc>
          <w:tcPr>
            <w:tcW w:type="dxa" w:w="1404"/>
            <w:shd w:fill="1F3864" w:val="clear"/>
            <w:tcMar>
              <w:top w:type="dxa" w:w="80"/>
              <w:left w:type="dxa" w:w="100"/>
              <w:bottom w:type="dxa" w:w="80"/>
              <w:right w:type="dxa" w:w="100"/>
            </w:tcMar>
            <w:vAlign w:val="center"/>
          </w:tcPr>
          <w:p>
            <w:r>
              <w:rPr>
                <w:b/>
                <w:bCs/>
                <w:color w:val="FFFFFF"/>
                <w:sz w:val="20"/>
                <w:szCs w:val="20"/>
              </w:rPr>
              <w:t xml:space="preserve">Median</w:t>
            </w:r>
          </w:p>
        </w:tc>
        <w:tc>
          <w:tcPr>
            <w:tcW w:type="dxa" w:w="1404"/>
            <w:shd w:fill="1F3864" w:val="clear"/>
            <w:tcMar>
              <w:top w:type="dxa" w:w="80"/>
              <w:left w:type="dxa" w:w="100"/>
              <w:bottom w:type="dxa" w:w="80"/>
              <w:right w:type="dxa" w:w="100"/>
            </w:tcMar>
            <w:vAlign w:val="center"/>
          </w:tcPr>
          <w:p>
            <w:r>
              <w:rPr>
                <w:b/>
                <w:bCs/>
                <w:color w:val="FFFFFF"/>
                <w:sz w:val="20"/>
                <w:szCs w:val="20"/>
              </w:rPr>
              <w:t xml:space="preserve">Mode</w:t>
            </w:r>
          </w:p>
        </w:tc>
        <w:tc>
          <w:tcPr>
            <w:tcW w:type="dxa" w:w="1498"/>
            <w:shd w:fill="1F3864" w:val="clear"/>
            <w:tcMar>
              <w:top w:type="dxa" w:w="80"/>
              <w:left w:type="dxa" w:w="100"/>
              <w:bottom w:type="dxa" w:w="80"/>
              <w:right w:type="dxa" w:w="100"/>
            </w:tcMar>
            <w:vAlign w:val="center"/>
          </w:tcPr>
          <w:p>
            <w:r>
              <w:rPr>
                <w:b/>
                <w:bCs/>
                <w:color w:val="FFFFFF"/>
                <w:sz w:val="20"/>
                <w:szCs w:val="20"/>
              </w:rPr>
              <w:t xml:space="preserve">Std Dev</w:t>
            </w:r>
          </w:p>
        </w:tc>
        <w:tc>
          <w:tcPr>
            <w:tcW w:type="dxa" w:w="1404"/>
            <w:shd w:fill="1F3864" w:val="clear"/>
            <w:tcMar>
              <w:top w:type="dxa" w:w="80"/>
              <w:left w:type="dxa" w:w="100"/>
              <w:bottom w:type="dxa" w:w="80"/>
              <w:right w:type="dxa" w:w="100"/>
            </w:tcMar>
            <w:vAlign w:val="center"/>
          </w:tcPr>
          <w:p>
            <w:r>
              <w:rPr>
                <w:b/>
                <w:bCs/>
                <w:color w:val="FFFFFF"/>
                <w:sz w:val="20"/>
                <w:szCs w:val="20"/>
              </w:rPr>
              <w:t xml:space="preserve">Variance</w:t>
            </w:r>
          </w:p>
        </w:tc>
      </w:tr>
      <w:tr>
        <w:tc>
          <w:tcPr>
            <w:tcW w:type="dxa" w:w="2246"/>
            <w:shd w:fill="FFFFFF" w:val="clear"/>
            <w:tcMar>
              <w:top w:type="dxa" w:w="60"/>
              <w:left w:type="dxa" w:w="100"/>
              <w:bottom w:type="dxa" w:w="60"/>
              <w:right w:type="dxa" w:w="100"/>
            </w:tcMar>
            <w:vAlign w:val="center"/>
          </w:tcPr>
          <w:p>
            <w:r>
              <w:rPr>
                <w:sz w:val="20"/>
                <w:szCs w:val="20"/>
              </w:rPr>
              <w:t xml:space="preserve">arrival_delay</w:t>
            </w:r>
          </w:p>
        </w:tc>
        <w:tc>
          <w:tcPr>
            <w:tcW w:type="dxa" w:w="1404"/>
            <w:shd w:fill="FFFFFF" w:val="clear"/>
            <w:tcMar>
              <w:top w:type="dxa" w:w="60"/>
              <w:left w:type="dxa" w:w="100"/>
              <w:bottom w:type="dxa" w:w="60"/>
              <w:right w:type="dxa" w:w="100"/>
            </w:tcMar>
            <w:vAlign w:val="center"/>
          </w:tcPr>
          <w:p>
            <w:r>
              <w:rPr>
                <w:sz w:val="20"/>
                <w:szCs w:val="20"/>
              </w:rPr>
              <w:t xml:space="preserve">4.00</w:t>
            </w:r>
          </w:p>
        </w:tc>
        <w:tc>
          <w:tcPr>
            <w:tcW w:type="dxa" w:w="1404"/>
            <w:shd w:fill="FFFFFF" w:val="clear"/>
            <w:tcMar>
              <w:top w:type="dxa" w:w="60"/>
              <w:left w:type="dxa" w:w="100"/>
              <w:bottom w:type="dxa" w:w="60"/>
              <w:right w:type="dxa" w:w="100"/>
            </w:tcMar>
            <w:vAlign w:val="center"/>
          </w:tcPr>
          <w:p>
            <w:r>
              <w:rPr>
                <w:sz w:val="20"/>
                <w:szCs w:val="20"/>
              </w:rPr>
              <w:t xml:space="preserve">-5.00</w:t>
            </w:r>
          </w:p>
        </w:tc>
        <w:tc>
          <w:tcPr>
            <w:tcW w:type="dxa" w:w="1404"/>
            <w:shd w:fill="FFFFFF" w:val="clear"/>
            <w:tcMar>
              <w:top w:type="dxa" w:w="60"/>
              <w:left w:type="dxa" w:w="100"/>
              <w:bottom w:type="dxa" w:w="60"/>
              <w:right w:type="dxa" w:w="100"/>
            </w:tcMar>
            <w:vAlign w:val="center"/>
          </w:tcPr>
          <w:p>
            <w:r>
              <w:rPr>
                <w:sz w:val="20"/>
                <w:szCs w:val="20"/>
              </w:rPr>
              <w:t xml:space="preserve">-10.00</w:t>
            </w:r>
          </w:p>
        </w:tc>
        <w:tc>
          <w:tcPr>
            <w:tcW w:type="dxa" w:w="1498"/>
            <w:shd w:fill="FFFFFF" w:val="clear"/>
            <w:tcMar>
              <w:top w:type="dxa" w:w="60"/>
              <w:left w:type="dxa" w:w="100"/>
              <w:bottom w:type="dxa" w:w="60"/>
              <w:right w:type="dxa" w:w="100"/>
            </w:tcMar>
            <w:vAlign w:val="center"/>
          </w:tcPr>
          <w:p>
            <w:r>
              <w:rPr>
                <w:sz w:val="20"/>
                <w:szCs w:val="20"/>
              </w:rPr>
              <w:t xml:space="preserve">37.75</w:t>
            </w:r>
          </w:p>
        </w:tc>
        <w:tc>
          <w:tcPr>
            <w:tcW w:type="dxa" w:w="1404"/>
            <w:shd w:fill="FFFFFF" w:val="clear"/>
            <w:tcMar>
              <w:top w:type="dxa" w:w="60"/>
              <w:left w:type="dxa" w:w="100"/>
              <w:bottom w:type="dxa" w:w="60"/>
              <w:right w:type="dxa" w:w="100"/>
            </w:tcMar>
            <w:vAlign w:val="center"/>
          </w:tcPr>
          <w:p>
            <w:r>
              <w:rPr>
                <w:sz w:val="20"/>
                <w:szCs w:val="20"/>
              </w:rPr>
              <w:t xml:space="preserve">1,425.44</w:t>
            </w:r>
          </w:p>
        </w:tc>
      </w:tr>
      <w:tr>
        <w:tc>
          <w:tcPr>
            <w:tcW w:type="dxa" w:w="2246"/>
            <w:shd w:fill="F2F6FB" w:val="clear"/>
            <w:tcMar>
              <w:top w:type="dxa" w:w="60"/>
              <w:left w:type="dxa" w:w="100"/>
              <w:bottom w:type="dxa" w:w="60"/>
              <w:right w:type="dxa" w:w="100"/>
            </w:tcMar>
            <w:vAlign w:val="center"/>
          </w:tcPr>
          <w:p>
            <w:r>
              <w:rPr>
                <w:sz w:val="20"/>
                <w:szCs w:val="20"/>
              </w:rPr>
              <w:t xml:space="preserve">departure_delay</w:t>
            </w:r>
          </w:p>
        </w:tc>
        <w:tc>
          <w:tcPr>
            <w:tcW w:type="dxa" w:w="1404"/>
            <w:shd w:fill="F2F6FB" w:val="clear"/>
            <w:tcMar>
              <w:top w:type="dxa" w:w="60"/>
              <w:left w:type="dxa" w:w="100"/>
              <w:bottom w:type="dxa" w:w="60"/>
              <w:right w:type="dxa" w:w="100"/>
            </w:tcMar>
            <w:vAlign w:val="center"/>
          </w:tcPr>
          <w:p>
            <w:r>
              <w:rPr>
                <w:sz w:val="20"/>
                <w:szCs w:val="20"/>
              </w:rPr>
              <w:t xml:space="preserve">9.09</w:t>
            </w:r>
          </w:p>
        </w:tc>
        <w:tc>
          <w:tcPr>
            <w:tcW w:type="dxa" w:w="1404"/>
            <w:shd w:fill="F2F6FB" w:val="clear"/>
            <w:tcMar>
              <w:top w:type="dxa" w:w="60"/>
              <w:left w:type="dxa" w:w="100"/>
              <w:bottom w:type="dxa" w:w="60"/>
              <w:right w:type="dxa" w:w="100"/>
            </w:tcMar>
            <w:vAlign w:val="center"/>
          </w:tcPr>
          <w:p>
            <w:r>
              <w:rPr>
                <w:sz w:val="20"/>
                <w:szCs w:val="20"/>
              </w:rPr>
              <w:t xml:space="preserve">-2.00</w:t>
            </w:r>
          </w:p>
        </w:tc>
        <w:tc>
          <w:tcPr>
            <w:tcW w:type="dxa" w:w="1404"/>
            <w:shd w:fill="F2F6FB" w:val="clear"/>
            <w:tcMar>
              <w:top w:type="dxa" w:w="60"/>
              <w:left w:type="dxa" w:w="100"/>
              <w:bottom w:type="dxa" w:w="60"/>
              <w:right w:type="dxa" w:w="100"/>
            </w:tcMar>
            <w:vAlign w:val="center"/>
          </w:tcPr>
          <w:p>
            <w:r>
              <w:rPr>
                <w:sz w:val="20"/>
                <w:szCs w:val="20"/>
              </w:rPr>
              <w:t xml:space="preserve">-3.00</w:t>
            </w:r>
          </w:p>
        </w:tc>
        <w:tc>
          <w:tcPr>
            <w:tcW w:type="dxa" w:w="1498"/>
            <w:shd w:fill="F2F6FB" w:val="clear"/>
            <w:tcMar>
              <w:top w:type="dxa" w:w="60"/>
              <w:left w:type="dxa" w:w="100"/>
              <w:bottom w:type="dxa" w:w="60"/>
              <w:right w:type="dxa" w:w="100"/>
            </w:tcMar>
            <w:vAlign w:val="center"/>
          </w:tcPr>
          <w:p>
            <w:r>
              <w:rPr>
                <w:sz w:val="20"/>
                <w:szCs w:val="20"/>
              </w:rPr>
              <w:t xml:space="preserve">35.46</w:t>
            </w:r>
          </w:p>
        </w:tc>
        <w:tc>
          <w:tcPr>
            <w:tcW w:type="dxa" w:w="1404"/>
            <w:shd w:fill="F2F6FB" w:val="clear"/>
            <w:tcMar>
              <w:top w:type="dxa" w:w="60"/>
              <w:left w:type="dxa" w:w="100"/>
              <w:bottom w:type="dxa" w:w="60"/>
              <w:right w:type="dxa" w:w="100"/>
            </w:tcMar>
            <w:vAlign w:val="center"/>
          </w:tcPr>
          <w:p>
            <w:r>
              <w:rPr>
                <w:sz w:val="20"/>
                <w:szCs w:val="20"/>
              </w:rPr>
              <w:t xml:space="preserve">1,257.75</w:t>
            </w:r>
          </w:p>
        </w:tc>
      </w:tr>
      <w:tr>
        <w:tc>
          <w:tcPr>
            <w:tcW w:type="dxa" w:w="2246"/>
            <w:shd w:fill="FFFFFF" w:val="clear"/>
            <w:tcMar>
              <w:top w:type="dxa" w:w="60"/>
              <w:left w:type="dxa" w:w="100"/>
              <w:bottom w:type="dxa" w:w="60"/>
              <w:right w:type="dxa" w:w="100"/>
            </w:tcMar>
            <w:vAlign w:val="center"/>
          </w:tcPr>
          <w:p>
            <w:r>
              <w:rPr>
                <w:sz w:val="20"/>
                <w:szCs w:val="20"/>
              </w:rPr>
              <w:t xml:space="preserve">taxi_out</w:t>
            </w:r>
          </w:p>
        </w:tc>
        <w:tc>
          <w:tcPr>
            <w:tcW w:type="dxa" w:w="1404"/>
            <w:shd w:fill="FFFFFF" w:val="clear"/>
            <w:tcMar>
              <w:top w:type="dxa" w:w="60"/>
              <w:left w:type="dxa" w:w="100"/>
              <w:bottom w:type="dxa" w:w="60"/>
              <w:right w:type="dxa" w:w="100"/>
            </w:tcMar>
            <w:vAlign w:val="center"/>
          </w:tcPr>
          <w:p>
            <w:r>
              <w:rPr>
                <w:sz w:val="20"/>
                <w:szCs w:val="20"/>
              </w:rPr>
              <w:t xml:space="preserve">16.02</w:t>
            </w:r>
          </w:p>
        </w:tc>
        <w:tc>
          <w:tcPr>
            <w:tcW w:type="dxa" w:w="1404"/>
            <w:shd w:fill="FFFFFF" w:val="clear"/>
            <w:tcMar>
              <w:top w:type="dxa" w:w="60"/>
              <w:left w:type="dxa" w:w="100"/>
              <w:bottom w:type="dxa" w:w="60"/>
              <w:right w:type="dxa" w:w="100"/>
            </w:tcMar>
            <w:vAlign w:val="center"/>
          </w:tcPr>
          <w:p>
            <w:r>
              <w:rPr>
                <w:sz w:val="20"/>
                <w:szCs w:val="20"/>
              </w:rPr>
              <w:t xml:space="preserve">14.00</w:t>
            </w:r>
          </w:p>
        </w:tc>
        <w:tc>
          <w:tcPr>
            <w:tcW w:type="dxa" w:w="1404"/>
            <w:shd w:fill="FFFFFF" w:val="clear"/>
            <w:tcMar>
              <w:top w:type="dxa" w:w="60"/>
              <w:left w:type="dxa" w:w="100"/>
              <w:bottom w:type="dxa" w:w="60"/>
              <w:right w:type="dxa" w:w="100"/>
            </w:tcMar>
            <w:vAlign w:val="center"/>
          </w:tcPr>
          <w:p>
            <w:r>
              <w:rPr>
                <w:sz w:val="20"/>
                <w:szCs w:val="20"/>
              </w:rPr>
              <w:t xml:space="preserve">11.00</w:t>
            </w:r>
          </w:p>
        </w:tc>
        <w:tc>
          <w:tcPr>
            <w:tcW w:type="dxa" w:w="1498"/>
            <w:shd w:fill="FFFFFF" w:val="clear"/>
            <w:tcMar>
              <w:top w:type="dxa" w:w="60"/>
              <w:left w:type="dxa" w:w="100"/>
              <w:bottom w:type="dxa" w:w="60"/>
              <w:right w:type="dxa" w:w="100"/>
            </w:tcMar>
            <w:vAlign w:val="center"/>
          </w:tcPr>
          <w:p>
            <w:r>
              <w:rPr>
                <w:sz w:val="20"/>
                <w:szCs w:val="20"/>
              </w:rPr>
              <w:t xml:space="preserve">8.81</w:t>
            </w:r>
          </w:p>
        </w:tc>
        <w:tc>
          <w:tcPr>
            <w:tcW w:type="dxa" w:w="1404"/>
            <w:shd w:fill="FFFFFF" w:val="clear"/>
            <w:tcMar>
              <w:top w:type="dxa" w:w="60"/>
              <w:left w:type="dxa" w:w="100"/>
              <w:bottom w:type="dxa" w:w="60"/>
              <w:right w:type="dxa" w:w="100"/>
            </w:tcMar>
            <w:vAlign w:val="center"/>
          </w:tcPr>
          <w:p>
            <w:r>
              <w:rPr>
                <w:sz w:val="20"/>
                <w:szCs w:val="20"/>
              </w:rPr>
              <w:t xml:space="preserve">77.54</w:t>
            </w:r>
          </w:p>
        </w:tc>
      </w:tr>
      <w:tr>
        <w:tc>
          <w:tcPr>
            <w:tcW w:type="dxa" w:w="2246"/>
            <w:shd w:fill="F2F6FB" w:val="clear"/>
            <w:tcMar>
              <w:top w:type="dxa" w:w="60"/>
              <w:left w:type="dxa" w:w="100"/>
              <w:bottom w:type="dxa" w:w="60"/>
              <w:right w:type="dxa" w:w="100"/>
            </w:tcMar>
            <w:vAlign w:val="center"/>
          </w:tcPr>
          <w:p>
            <w:r>
              <w:rPr>
                <w:sz w:val="20"/>
                <w:szCs w:val="20"/>
              </w:rPr>
              <w:t xml:space="preserve">taxi_in</w:t>
            </w:r>
          </w:p>
        </w:tc>
        <w:tc>
          <w:tcPr>
            <w:tcW w:type="dxa" w:w="1404"/>
            <w:shd w:fill="F2F6FB" w:val="clear"/>
            <w:tcMar>
              <w:top w:type="dxa" w:w="60"/>
              <w:left w:type="dxa" w:w="100"/>
              <w:bottom w:type="dxa" w:w="60"/>
              <w:right w:type="dxa" w:w="100"/>
            </w:tcMar>
            <w:vAlign w:val="center"/>
          </w:tcPr>
          <w:p>
            <w:r>
              <w:rPr>
                <w:sz w:val="20"/>
                <w:szCs w:val="20"/>
              </w:rPr>
              <w:t xml:space="preserve">7.41</w:t>
            </w:r>
          </w:p>
        </w:tc>
        <w:tc>
          <w:tcPr>
            <w:tcW w:type="dxa" w:w="1404"/>
            <w:shd w:fill="F2F6FB" w:val="clear"/>
            <w:tcMar>
              <w:top w:type="dxa" w:w="60"/>
              <w:left w:type="dxa" w:w="100"/>
              <w:bottom w:type="dxa" w:w="60"/>
              <w:right w:type="dxa" w:w="100"/>
            </w:tcMar>
            <w:vAlign w:val="center"/>
          </w:tcPr>
          <w:p>
            <w:r>
              <w:rPr>
                <w:sz w:val="20"/>
                <w:szCs w:val="20"/>
              </w:rPr>
              <w:t xml:space="preserve">6.00</w:t>
            </w:r>
          </w:p>
        </w:tc>
        <w:tc>
          <w:tcPr>
            <w:tcW w:type="dxa" w:w="1404"/>
            <w:shd w:fill="F2F6FB" w:val="clear"/>
            <w:tcMar>
              <w:top w:type="dxa" w:w="60"/>
              <w:left w:type="dxa" w:w="100"/>
              <w:bottom w:type="dxa" w:w="60"/>
              <w:right w:type="dxa" w:w="100"/>
            </w:tcMar>
            <w:vAlign w:val="center"/>
          </w:tcPr>
          <w:p>
            <w:r>
              <w:rPr>
                <w:sz w:val="20"/>
                <w:szCs w:val="20"/>
              </w:rPr>
              <w:t xml:space="preserve">4.00</w:t>
            </w:r>
          </w:p>
        </w:tc>
        <w:tc>
          <w:tcPr>
            <w:tcW w:type="dxa" w:w="1498"/>
            <w:shd w:fill="F2F6FB" w:val="clear"/>
            <w:tcMar>
              <w:top w:type="dxa" w:w="60"/>
              <w:left w:type="dxa" w:w="100"/>
              <w:bottom w:type="dxa" w:w="60"/>
              <w:right w:type="dxa" w:w="100"/>
            </w:tcMar>
            <w:vAlign w:val="center"/>
          </w:tcPr>
          <w:p>
            <w:r>
              <w:rPr>
                <w:sz w:val="20"/>
                <w:szCs w:val="20"/>
              </w:rPr>
              <w:t xml:space="preserve">5.61</w:t>
            </w:r>
          </w:p>
        </w:tc>
        <w:tc>
          <w:tcPr>
            <w:tcW w:type="dxa" w:w="1404"/>
            <w:shd w:fill="F2F6FB" w:val="clear"/>
            <w:tcMar>
              <w:top w:type="dxa" w:w="60"/>
              <w:left w:type="dxa" w:w="100"/>
              <w:bottom w:type="dxa" w:w="60"/>
              <w:right w:type="dxa" w:w="100"/>
            </w:tcMar>
            <w:vAlign w:val="center"/>
          </w:tcPr>
          <w:p>
            <w:r>
              <w:rPr>
                <w:sz w:val="20"/>
                <w:szCs w:val="20"/>
              </w:rPr>
              <w:t xml:space="preserve">31.49</w:t>
            </w:r>
          </w:p>
        </w:tc>
      </w:tr>
      <w:tr>
        <w:tc>
          <w:tcPr>
            <w:tcW w:type="dxa" w:w="2246"/>
            <w:shd w:fill="FFFFFF" w:val="clear"/>
            <w:tcMar>
              <w:top w:type="dxa" w:w="60"/>
              <w:left w:type="dxa" w:w="100"/>
              <w:bottom w:type="dxa" w:w="60"/>
              <w:right w:type="dxa" w:w="100"/>
            </w:tcMar>
            <w:vAlign w:val="center"/>
          </w:tcPr>
          <w:p>
            <w:r>
              <w:rPr>
                <w:sz w:val="20"/>
                <w:szCs w:val="20"/>
              </w:rPr>
              <w:t xml:space="preserve">distance</w:t>
            </w:r>
          </w:p>
        </w:tc>
        <w:tc>
          <w:tcPr>
            <w:tcW w:type="dxa" w:w="1404"/>
            <w:shd w:fill="FFFFFF" w:val="clear"/>
            <w:tcMar>
              <w:top w:type="dxa" w:w="60"/>
              <w:left w:type="dxa" w:w="100"/>
              <w:bottom w:type="dxa" w:w="60"/>
              <w:right w:type="dxa" w:w="100"/>
            </w:tcMar>
            <w:vAlign w:val="center"/>
          </w:tcPr>
          <w:p>
            <w:r>
              <w:rPr>
                <w:sz w:val="20"/>
                <w:szCs w:val="20"/>
              </w:rPr>
              <w:t xml:space="preserve">824.20</w:t>
            </w:r>
          </w:p>
        </w:tc>
        <w:tc>
          <w:tcPr>
            <w:tcW w:type="dxa" w:w="1404"/>
            <w:shd w:fill="FFFFFF" w:val="clear"/>
            <w:tcMar>
              <w:top w:type="dxa" w:w="60"/>
              <w:left w:type="dxa" w:w="100"/>
              <w:bottom w:type="dxa" w:w="60"/>
              <w:right w:type="dxa" w:w="100"/>
            </w:tcMar>
            <w:vAlign w:val="center"/>
          </w:tcPr>
          <w:p>
            <w:r>
              <w:rPr>
                <w:sz w:val="20"/>
                <w:szCs w:val="20"/>
              </w:rPr>
              <w:t xml:space="preserve">646.00</w:t>
            </w:r>
          </w:p>
        </w:tc>
        <w:tc>
          <w:tcPr>
            <w:tcW w:type="dxa" w:w="1404"/>
            <w:shd w:fill="FFFFFF" w:val="clear"/>
            <w:tcMar>
              <w:top w:type="dxa" w:w="60"/>
              <w:left w:type="dxa" w:w="100"/>
              <w:bottom w:type="dxa" w:w="60"/>
              <w:right w:type="dxa" w:w="100"/>
            </w:tcMar>
            <w:vAlign w:val="center"/>
          </w:tcPr>
          <w:p>
            <w:r>
              <w:rPr>
                <w:sz w:val="20"/>
                <w:szCs w:val="20"/>
              </w:rPr>
              <w:t xml:space="preserve">337</w:t>
            </w:r>
          </w:p>
        </w:tc>
        <w:tc>
          <w:tcPr>
            <w:tcW w:type="dxa" w:w="1498"/>
            <w:shd w:fill="FFFFFF" w:val="clear"/>
            <w:tcMar>
              <w:top w:type="dxa" w:w="60"/>
              <w:left w:type="dxa" w:w="100"/>
              <w:bottom w:type="dxa" w:w="60"/>
              <w:right w:type="dxa" w:w="100"/>
            </w:tcMar>
            <w:vAlign w:val="center"/>
          </w:tcPr>
          <w:p>
            <w:r>
              <w:rPr>
                <w:sz w:val="20"/>
                <w:szCs w:val="20"/>
              </w:rPr>
              <w:t xml:space="preserve">611.89</w:t>
            </w:r>
          </w:p>
        </w:tc>
        <w:tc>
          <w:tcPr>
            <w:tcW w:type="dxa" w:w="1404"/>
            <w:shd w:fill="FFFFFF" w:val="clear"/>
            <w:tcMar>
              <w:top w:type="dxa" w:w="60"/>
              <w:left w:type="dxa" w:w="100"/>
              <w:bottom w:type="dxa" w:w="60"/>
              <w:right w:type="dxa" w:w="100"/>
            </w:tcMar>
            <w:vAlign w:val="center"/>
          </w:tcPr>
          <w:p>
            <w:r>
              <w:rPr>
                <w:sz w:val="20"/>
                <w:szCs w:val="20"/>
              </w:rPr>
              <w:t xml:space="preserve">374,407.33</w:t>
            </w:r>
          </w:p>
        </w:tc>
      </w:tr>
      <w:tr>
        <w:tc>
          <w:tcPr>
            <w:tcW w:type="dxa" w:w="2246"/>
            <w:shd w:fill="F2F6FB" w:val="clear"/>
            <w:tcMar>
              <w:top w:type="dxa" w:w="60"/>
              <w:left w:type="dxa" w:w="100"/>
              <w:bottom w:type="dxa" w:w="60"/>
              <w:right w:type="dxa" w:w="100"/>
            </w:tcMar>
            <w:vAlign w:val="center"/>
          </w:tcPr>
          <w:p>
            <w:r>
              <w:rPr>
                <w:sz w:val="20"/>
                <w:szCs w:val="20"/>
              </w:rPr>
              <w:t xml:space="preserve">air_time</w:t>
            </w:r>
          </w:p>
        </w:tc>
        <w:tc>
          <w:tcPr>
            <w:tcW w:type="dxa" w:w="1404"/>
            <w:shd w:fill="F2F6FB" w:val="clear"/>
            <w:tcMar>
              <w:top w:type="dxa" w:w="60"/>
              <w:left w:type="dxa" w:w="100"/>
              <w:bottom w:type="dxa" w:w="60"/>
              <w:right w:type="dxa" w:w="100"/>
            </w:tcMar>
            <w:vAlign w:val="center"/>
          </w:tcPr>
          <w:p>
            <w:r>
              <w:rPr>
                <w:sz w:val="20"/>
                <w:szCs w:val="20"/>
              </w:rPr>
              <w:t xml:space="preserve">113.81</w:t>
            </w:r>
          </w:p>
        </w:tc>
        <w:tc>
          <w:tcPr>
            <w:tcW w:type="dxa" w:w="1404"/>
            <w:shd w:fill="F2F6FB" w:val="clear"/>
            <w:tcMar>
              <w:top w:type="dxa" w:w="60"/>
              <w:left w:type="dxa" w:w="100"/>
              <w:bottom w:type="dxa" w:w="60"/>
              <w:right w:type="dxa" w:w="100"/>
            </w:tcMar>
            <w:vAlign w:val="center"/>
          </w:tcPr>
          <w:p>
            <w:r>
              <w:rPr>
                <w:sz w:val="20"/>
                <w:szCs w:val="20"/>
              </w:rPr>
              <w:t xml:space="preserve">94.00</w:t>
            </w:r>
          </w:p>
        </w:tc>
        <w:tc>
          <w:tcPr>
            <w:tcW w:type="dxa" w:w="1404"/>
            <w:shd w:fill="F2F6FB" w:val="clear"/>
            <w:tcMar>
              <w:top w:type="dxa" w:w="60"/>
              <w:left w:type="dxa" w:w="100"/>
              <w:bottom w:type="dxa" w:w="60"/>
              <w:right w:type="dxa" w:w="100"/>
            </w:tcMar>
            <w:vAlign w:val="center"/>
          </w:tcPr>
          <w:p>
            <w:r>
              <w:rPr>
                <w:sz w:val="20"/>
                <w:szCs w:val="20"/>
              </w:rPr>
              <w:t xml:space="preserve">63.00</w:t>
            </w:r>
          </w:p>
        </w:tc>
        <w:tc>
          <w:tcPr>
            <w:tcW w:type="dxa" w:w="1498"/>
            <w:shd w:fill="F2F6FB" w:val="clear"/>
            <w:tcMar>
              <w:top w:type="dxa" w:w="60"/>
              <w:left w:type="dxa" w:w="100"/>
              <w:bottom w:type="dxa" w:w="60"/>
              <w:right w:type="dxa" w:w="100"/>
            </w:tcMar>
            <w:vAlign w:val="center"/>
          </w:tcPr>
          <w:p>
            <w:r>
              <w:rPr>
                <w:sz w:val="20"/>
                <w:szCs w:val="20"/>
              </w:rPr>
              <w:t xml:space="preserve">72.56</w:t>
            </w:r>
          </w:p>
        </w:tc>
        <w:tc>
          <w:tcPr>
            <w:tcW w:type="dxa" w:w="1404"/>
            <w:shd w:fill="F2F6FB" w:val="clear"/>
            <w:tcMar>
              <w:top w:type="dxa" w:w="60"/>
              <w:left w:type="dxa" w:w="100"/>
              <w:bottom w:type="dxa" w:w="60"/>
              <w:right w:type="dxa" w:w="100"/>
            </w:tcMar>
            <w:vAlign w:val="center"/>
          </w:tcPr>
          <w:p>
            <w:r>
              <w:rPr>
                <w:sz w:val="20"/>
                <w:szCs w:val="20"/>
              </w:rPr>
              <w:t xml:space="preserve">5,264.86</w:t>
            </w:r>
          </w:p>
        </w:tc>
      </w:tr>
    </w:tbl>
    <w:p>
      <w:pPr>
        <w:spacing w:after="80"/>
      </w:pPr>
    </w:p>
    <w:p>
      <w:pPr>
        <w:spacing w:after="160"/>
      </w:pPr>
      <w:r>
        <w:t xml:space="preserve">These figures match Sprint 2's descriptive baseline and are repeated here deliberately: variance and standard deviation are the direct inputs to the confidence interval and hypothesis tests that follow, so restating them here keeps this sprint's statistical work traceable to numbers already established rather than newly asserted.</w:t>
      </w:r>
    </w:p>
    <w:p>
      <w:pPr>
        <w:pStyle w:val="Heading2"/>
        <w:spacing w:after="120" w:before="280"/>
      </w:pPr>
      <w:r>
        <w:t xml:space="preserve">Distribution Analysis (Skewness &amp; Kurtosis)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shd w:fill="1F3864" w:val="clear"/>
            <w:tcMar>
              <w:top w:type="dxa" w:w="80"/>
              <w:left w:type="dxa" w:w="100"/>
              <w:bottom w:type="dxa" w:w="80"/>
              <w:right w:type="dxa" w:w="100"/>
            </w:tcMar>
            <w:vAlign w:val="center"/>
          </w:tcPr>
          <w:p>
            <w:r>
              <w:rPr>
                <w:b/>
                <w:bCs/>
                <w:color w:val="FFFFFF"/>
                <w:sz w:val="20"/>
                <w:szCs w:val="20"/>
              </w:rPr>
              <w:t xml:space="preserve">Column</w:t>
            </w:r>
          </w:p>
        </w:tc>
        <w:tc>
          <w:tcPr>
            <w:tcW w:type="dxa" w:w="2808"/>
            <w:shd w:fill="1F3864" w:val="clear"/>
            <w:tcMar>
              <w:top w:type="dxa" w:w="80"/>
              <w:left w:type="dxa" w:w="100"/>
              <w:bottom w:type="dxa" w:w="80"/>
              <w:right w:type="dxa" w:w="100"/>
            </w:tcMar>
            <w:vAlign w:val="center"/>
          </w:tcPr>
          <w:p>
            <w:r>
              <w:rPr>
                <w:b/>
                <w:bCs/>
                <w:color w:val="FFFFFF"/>
                <w:sz w:val="20"/>
                <w:szCs w:val="20"/>
              </w:rPr>
              <w:t xml:space="preserve">Skewness</w:t>
            </w:r>
          </w:p>
        </w:tc>
        <w:tc>
          <w:tcPr>
            <w:tcW w:type="dxa" w:w="2808"/>
            <w:shd w:fill="1F3864" w:val="clear"/>
            <w:tcMar>
              <w:top w:type="dxa" w:w="80"/>
              <w:left w:type="dxa" w:w="100"/>
              <w:bottom w:type="dxa" w:w="80"/>
              <w:right w:type="dxa" w:w="100"/>
            </w:tcMar>
            <w:vAlign w:val="center"/>
          </w:tcPr>
          <w:p>
            <w:r>
              <w:rPr>
                <w:b/>
                <w:bCs/>
                <w:color w:val="FFFFFF"/>
                <w:sz w:val="20"/>
                <w:szCs w:val="20"/>
              </w:rPr>
              <w:t xml:space="preserve">Kurtosis</w:t>
            </w:r>
          </w:p>
        </w:tc>
      </w:tr>
      <w:tr>
        <w:tc>
          <w:tcPr>
            <w:tcW w:type="dxa" w:w="3744"/>
            <w:shd w:fill="FFFFFF" w:val="clear"/>
            <w:tcMar>
              <w:top w:type="dxa" w:w="60"/>
              <w:left w:type="dxa" w:w="100"/>
              <w:bottom w:type="dxa" w:w="60"/>
              <w:right w:type="dxa" w:w="100"/>
            </w:tcMar>
            <w:vAlign w:val="center"/>
          </w:tcPr>
          <w:p>
            <w:r>
              <w:rPr>
                <w:sz w:val="20"/>
                <w:szCs w:val="20"/>
              </w:rPr>
              <w:t xml:space="preserve">arrival_delay</w:t>
            </w:r>
          </w:p>
        </w:tc>
        <w:tc>
          <w:tcPr>
            <w:tcW w:type="dxa" w:w="2808"/>
            <w:shd w:fill="FFFFFF" w:val="clear"/>
            <w:tcMar>
              <w:top w:type="dxa" w:w="60"/>
              <w:left w:type="dxa" w:w="100"/>
              <w:bottom w:type="dxa" w:w="60"/>
              <w:right w:type="dxa" w:w="100"/>
            </w:tcMar>
            <w:vAlign w:val="center"/>
          </w:tcPr>
          <w:p>
            <w:r>
              <w:rPr>
                <w:sz w:val="20"/>
                <w:szCs w:val="20"/>
              </w:rPr>
              <w:t xml:space="preserve">6.39</w:t>
            </w:r>
          </w:p>
        </w:tc>
        <w:tc>
          <w:tcPr>
            <w:tcW w:type="dxa" w:w="2808"/>
            <w:shd w:fill="FFFFFF" w:val="clear"/>
            <w:tcMar>
              <w:top w:type="dxa" w:w="60"/>
              <w:left w:type="dxa" w:w="100"/>
              <w:bottom w:type="dxa" w:w="60"/>
              <w:right w:type="dxa" w:w="100"/>
            </w:tcMar>
            <w:vAlign w:val="center"/>
          </w:tcPr>
          <w:p>
            <w:r>
              <w:rPr>
                <w:sz w:val="20"/>
                <w:szCs w:val="20"/>
              </w:rPr>
              <w:t xml:space="preserve">109.38</w:t>
            </w:r>
          </w:p>
        </w:tc>
      </w:tr>
      <w:tr>
        <w:tc>
          <w:tcPr>
            <w:tcW w:type="dxa" w:w="3744"/>
            <w:shd w:fill="F2F6FB" w:val="clear"/>
            <w:tcMar>
              <w:top w:type="dxa" w:w="60"/>
              <w:left w:type="dxa" w:w="100"/>
              <w:bottom w:type="dxa" w:w="60"/>
              <w:right w:type="dxa" w:w="100"/>
            </w:tcMar>
            <w:vAlign w:val="center"/>
          </w:tcPr>
          <w:p>
            <w:r>
              <w:rPr>
                <w:sz w:val="20"/>
                <w:szCs w:val="20"/>
              </w:rPr>
              <w:t xml:space="preserve">departure_delay</w:t>
            </w:r>
          </w:p>
        </w:tc>
        <w:tc>
          <w:tcPr>
            <w:tcW w:type="dxa" w:w="2808"/>
            <w:shd w:fill="F2F6FB" w:val="clear"/>
            <w:tcMar>
              <w:top w:type="dxa" w:w="60"/>
              <w:left w:type="dxa" w:w="100"/>
              <w:bottom w:type="dxa" w:w="60"/>
              <w:right w:type="dxa" w:w="100"/>
            </w:tcMar>
            <w:vAlign w:val="center"/>
          </w:tcPr>
          <w:p>
            <w:r>
              <w:rPr>
                <w:sz w:val="20"/>
                <w:szCs w:val="20"/>
              </w:rPr>
              <w:t xml:space="preserve">7.27</w:t>
            </w:r>
          </w:p>
        </w:tc>
        <w:tc>
          <w:tcPr>
            <w:tcW w:type="dxa" w:w="2808"/>
            <w:shd w:fill="F2F6FB" w:val="clear"/>
            <w:tcMar>
              <w:top w:type="dxa" w:w="60"/>
              <w:left w:type="dxa" w:w="100"/>
              <w:bottom w:type="dxa" w:w="60"/>
              <w:right w:type="dxa" w:w="100"/>
            </w:tcMar>
            <w:vAlign w:val="center"/>
          </w:tcPr>
          <w:p>
            <w:r>
              <w:rPr>
                <w:sz w:val="20"/>
                <w:szCs w:val="20"/>
              </w:rPr>
              <w:t xml:space="preserve">125.86</w:t>
            </w:r>
          </w:p>
        </w:tc>
      </w:tr>
      <w:tr>
        <w:tc>
          <w:tcPr>
            <w:tcW w:type="dxa" w:w="3744"/>
            <w:shd w:fill="FFFFFF" w:val="clear"/>
            <w:tcMar>
              <w:top w:type="dxa" w:w="60"/>
              <w:left w:type="dxa" w:w="100"/>
              <w:bottom w:type="dxa" w:w="60"/>
              <w:right w:type="dxa" w:w="100"/>
            </w:tcMar>
            <w:vAlign w:val="center"/>
          </w:tcPr>
          <w:p>
            <w:r>
              <w:rPr>
                <w:sz w:val="20"/>
                <w:szCs w:val="20"/>
              </w:rPr>
              <w:t xml:space="preserve">taxi_out</w:t>
            </w:r>
          </w:p>
        </w:tc>
        <w:tc>
          <w:tcPr>
            <w:tcW w:type="dxa" w:w="2808"/>
            <w:shd w:fill="FFFFFF" w:val="clear"/>
            <w:tcMar>
              <w:top w:type="dxa" w:w="60"/>
              <w:left w:type="dxa" w:w="100"/>
              <w:bottom w:type="dxa" w:w="60"/>
              <w:right w:type="dxa" w:w="100"/>
            </w:tcMar>
            <w:vAlign w:val="center"/>
          </w:tcPr>
          <w:p>
            <w:r>
              <w:rPr>
                <w:sz w:val="20"/>
                <w:szCs w:val="20"/>
              </w:rPr>
              <w:t xml:space="preserve">3.39</w:t>
            </w:r>
          </w:p>
        </w:tc>
        <w:tc>
          <w:tcPr>
            <w:tcW w:type="dxa" w:w="2808"/>
            <w:shd w:fill="FFFFFF" w:val="clear"/>
            <w:tcMar>
              <w:top w:type="dxa" w:w="60"/>
              <w:left w:type="dxa" w:w="100"/>
              <w:bottom w:type="dxa" w:w="60"/>
              <w:right w:type="dxa" w:w="100"/>
            </w:tcMar>
            <w:vAlign w:val="center"/>
          </w:tcPr>
          <w:p>
            <w:r>
              <w:rPr>
                <w:sz w:val="20"/>
                <w:szCs w:val="20"/>
              </w:rPr>
              <w:t xml:space="preserve">23.00</w:t>
            </w:r>
          </w:p>
        </w:tc>
      </w:tr>
      <w:tr>
        <w:tc>
          <w:tcPr>
            <w:tcW w:type="dxa" w:w="3744"/>
            <w:shd w:fill="F2F6FB" w:val="clear"/>
            <w:tcMar>
              <w:top w:type="dxa" w:w="60"/>
              <w:left w:type="dxa" w:w="100"/>
              <w:bottom w:type="dxa" w:w="60"/>
              <w:right w:type="dxa" w:w="100"/>
            </w:tcMar>
            <w:vAlign w:val="center"/>
          </w:tcPr>
          <w:p>
            <w:r>
              <w:rPr>
                <w:sz w:val="20"/>
                <w:szCs w:val="20"/>
              </w:rPr>
              <w:t xml:space="preserve">taxi_in</w:t>
            </w:r>
          </w:p>
        </w:tc>
        <w:tc>
          <w:tcPr>
            <w:tcW w:type="dxa" w:w="2808"/>
            <w:shd w:fill="F2F6FB" w:val="clear"/>
            <w:tcMar>
              <w:top w:type="dxa" w:w="60"/>
              <w:left w:type="dxa" w:w="100"/>
              <w:bottom w:type="dxa" w:w="60"/>
              <w:right w:type="dxa" w:w="100"/>
            </w:tcMar>
            <w:vAlign w:val="center"/>
          </w:tcPr>
          <w:p>
            <w:r>
              <w:rPr>
                <w:sz w:val="20"/>
                <w:szCs w:val="20"/>
              </w:rPr>
              <w:t xml:space="preserve">5.42</w:t>
            </w:r>
          </w:p>
        </w:tc>
        <w:tc>
          <w:tcPr>
            <w:tcW w:type="dxa" w:w="2808"/>
            <w:shd w:fill="F2F6FB" w:val="clear"/>
            <w:tcMar>
              <w:top w:type="dxa" w:w="60"/>
              <w:left w:type="dxa" w:w="100"/>
              <w:bottom w:type="dxa" w:w="60"/>
              <w:right w:type="dxa" w:w="100"/>
            </w:tcMar>
            <w:vAlign w:val="center"/>
          </w:tcPr>
          <w:p>
            <w:r>
              <w:rPr>
                <w:sz w:val="20"/>
                <w:szCs w:val="20"/>
              </w:rPr>
              <w:t xml:space="preserve">67.91</w:t>
            </w:r>
          </w:p>
        </w:tc>
      </w:tr>
    </w:tbl>
    <w:p>
      <w:pPr>
        <w:spacing w:after="80"/>
      </w:pPr>
    </w:p>
    <w:p>
      <w:pPr>
        <w:spacing w:after="160"/>
      </w:pPr>
      <w:r>
        <w:t xml:space="preserve">Kurtosis was added alongside skewness in this sprint specifically because it quantifies how heavy the tails of the distribution are — arrival_delay's kurtosis of over 109 (far above the value of 3 expected for a normal distribution) confirms extreme delays are not just occasional, they are extreme enough to dominate the tails of the distribution. This is the direct justification for using a t-test (which does not require normality with a large sample, by the Central Limit Theorem) rather than assuming a normal distribution outright anywhere in this sprint's hypothesis testing.</w:t>
      </w:r>
    </w:p>
    <w:p>
      <w:pPr>
        <w:pStyle w:val="Heading2"/>
        <w:spacing w:after="120" w:before="280"/>
      </w:pPr>
      <w:r>
        <w:t xml:space="preserve">Correlation and Covariance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shd w:fill="1F3864" w:val="clear"/>
            <w:tcMar>
              <w:top w:type="dxa" w:w="80"/>
              <w:left w:type="dxa" w:w="100"/>
              <w:bottom w:type="dxa" w:w="80"/>
              <w:right w:type="dxa" w:w="100"/>
            </w:tcMar>
            <w:vAlign w:val="center"/>
          </w:tcPr>
          <w:p>
            <w:r>
              <w:rPr>
                <w:b/>
                <w:bCs/>
                <w:color w:val="FFFFFF"/>
                <w:sz w:val="20"/>
                <w:szCs w:val="20"/>
              </w:rPr>
              <w:t xml:space="preserve">Variable</w:t>
            </w:r>
          </w:p>
        </w:tc>
        <w:tc>
          <w:tcPr>
            <w:tcW w:type="dxa" w:w="4212"/>
            <w:shd w:fill="1F3864" w:val="clear"/>
            <w:tcMar>
              <w:top w:type="dxa" w:w="80"/>
              <w:left w:type="dxa" w:w="100"/>
              <w:bottom w:type="dxa" w:w="80"/>
              <w:right w:type="dxa" w:w="100"/>
            </w:tcMar>
            <w:vAlign w:val="center"/>
          </w:tcPr>
          <w:p>
            <w:r>
              <w:rPr>
                <w:b/>
                <w:bCs/>
                <w:color w:val="FFFFFF"/>
                <w:sz w:val="20"/>
                <w:szCs w:val="20"/>
              </w:rPr>
              <w:t xml:space="preserve">Correlation with arrival_delay</w:t>
            </w:r>
          </w:p>
        </w:tc>
      </w:tr>
      <w:tr>
        <w:tc>
          <w:tcPr>
            <w:tcW w:type="dxa" w:w="5148"/>
            <w:shd w:fill="FFFFFF" w:val="clear"/>
            <w:tcMar>
              <w:top w:type="dxa" w:w="60"/>
              <w:left w:type="dxa" w:w="100"/>
              <w:bottom w:type="dxa" w:w="60"/>
              <w:right w:type="dxa" w:w="100"/>
            </w:tcMar>
            <w:vAlign w:val="center"/>
          </w:tcPr>
          <w:p>
            <w:r>
              <w:rPr>
                <w:sz w:val="20"/>
                <w:szCs w:val="20"/>
              </w:rPr>
              <w:t xml:space="preserve">departure_delay</w:t>
            </w:r>
          </w:p>
        </w:tc>
        <w:tc>
          <w:tcPr>
            <w:tcW w:type="dxa" w:w="4212"/>
            <w:shd w:fill="FFFFFF" w:val="clear"/>
            <w:tcMar>
              <w:top w:type="dxa" w:w="60"/>
              <w:left w:type="dxa" w:w="100"/>
              <w:bottom w:type="dxa" w:w="60"/>
              <w:right w:type="dxa" w:w="100"/>
            </w:tcMar>
            <w:vAlign w:val="center"/>
          </w:tcPr>
          <w:p>
            <w:r>
              <w:rPr>
                <w:sz w:val="20"/>
                <w:szCs w:val="20"/>
              </w:rPr>
              <w:t xml:space="preserve">0.94</w:t>
            </w:r>
          </w:p>
        </w:tc>
      </w:tr>
      <w:tr>
        <w:tc>
          <w:tcPr>
            <w:tcW w:type="dxa" w:w="5148"/>
            <w:shd w:fill="F2F6FB" w:val="clear"/>
            <w:tcMar>
              <w:top w:type="dxa" w:w="60"/>
              <w:left w:type="dxa" w:w="100"/>
              <w:bottom w:type="dxa" w:w="60"/>
              <w:right w:type="dxa" w:w="100"/>
            </w:tcMar>
            <w:vAlign w:val="center"/>
          </w:tcPr>
          <w:p>
            <w:r>
              <w:rPr>
                <w:sz w:val="20"/>
                <w:szCs w:val="20"/>
              </w:rPr>
              <w:t xml:space="preserve">late_aircraft_delay</w:t>
            </w:r>
          </w:p>
        </w:tc>
        <w:tc>
          <w:tcPr>
            <w:tcW w:type="dxa" w:w="4212"/>
            <w:shd w:fill="F2F6FB" w:val="clear"/>
            <w:tcMar>
              <w:top w:type="dxa" w:w="60"/>
              <w:left w:type="dxa" w:w="100"/>
              <w:bottom w:type="dxa" w:w="60"/>
              <w:right w:type="dxa" w:w="100"/>
            </w:tcMar>
            <w:vAlign w:val="center"/>
          </w:tcPr>
          <w:p>
            <w:r>
              <w:rPr>
                <w:sz w:val="20"/>
                <w:szCs w:val="20"/>
              </w:rPr>
              <w:t xml:space="preserve">0.62</w:t>
            </w:r>
          </w:p>
        </w:tc>
      </w:tr>
      <w:tr>
        <w:tc>
          <w:tcPr>
            <w:tcW w:type="dxa" w:w="5148"/>
            <w:shd w:fill="FFFFFF" w:val="clear"/>
            <w:tcMar>
              <w:top w:type="dxa" w:w="60"/>
              <w:left w:type="dxa" w:w="100"/>
              <w:bottom w:type="dxa" w:w="60"/>
              <w:right w:type="dxa" w:w="100"/>
            </w:tcMar>
            <w:vAlign w:val="center"/>
          </w:tcPr>
          <w:p>
            <w:r>
              <w:rPr>
                <w:sz w:val="20"/>
                <w:szCs w:val="20"/>
              </w:rPr>
              <w:t xml:space="preserve">airline_delay</w:t>
            </w:r>
          </w:p>
        </w:tc>
        <w:tc>
          <w:tcPr>
            <w:tcW w:type="dxa" w:w="4212"/>
            <w:shd w:fill="FFFFFF" w:val="clear"/>
            <w:tcMar>
              <w:top w:type="dxa" w:w="60"/>
              <w:left w:type="dxa" w:w="100"/>
              <w:bottom w:type="dxa" w:w="60"/>
              <w:right w:type="dxa" w:w="100"/>
            </w:tcMar>
            <w:vAlign w:val="center"/>
          </w:tcPr>
          <w:p>
            <w:r>
              <w:rPr>
                <w:sz w:val="20"/>
                <w:szCs w:val="20"/>
              </w:rPr>
              <w:t xml:space="preserve">0.62</w:t>
            </w:r>
          </w:p>
        </w:tc>
      </w:tr>
      <w:tr>
        <w:tc>
          <w:tcPr>
            <w:tcW w:type="dxa" w:w="5148"/>
            <w:shd w:fill="F2F6FB" w:val="clear"/>
            <w:tcMar>
              <w:top w:type="dxa" w:w="60"/>
              <w:left w:type="dxa" w:w="100"/>
              <w:bottom w:type="dxa" w:w="60"/>
              <w:right w:type="dxa" w:w="100"/>
            </w:tcMar>
            <w:vAlign w:val="center"/>
          </w:tcPr>
          <w:p>
            <w:r>
              <w:rPr>
                <w:sz w:val="20"/>
                <w:szCs w:val="20"/>
              </w:rPr>
              <w:t xml:space="preserve">air_system_delay</w:t>
            </w:r>
          </w:p>
        </w:tc>
        <w:tc>
          <w:tcPr>
            <w:tcW w:type="dxa" w:w="4212"/>
            <w:shd w:fill="F2F6FB" w:val="clear"/>
            <w:tcMar>
              <w:top w:type="dxa" w:w="60"/>
              <w:left w:type="dxa" w:w="100"/>
              <w:bottom w:type="dxa" w:w="60"/>
              <w:right w:type="dxa" w:w="100"/>
            </w:tcMar>
            <w:vAlign w:val="center"/>
          </w:tcPr>
          <w:p>
            <w:r>
              <w:rPr>
                <w:sz w:val="20"/>
                <w:szCs w:val="20"/>
              </w:rPr>
              <w:t xml:space="preserve">0.43</w:t>
            </w:r>
          </w:p>
        </w:tc>
      </w:tr>
      <w:tr>
        <w:tc>
          <w:tcPr>
            <w:tcW w:type="dxa" w:w="5148"/>
            <w:shd w:fill="FFFFFF" w:val="clear"/>
            <w:tcMar>
              <w:top w:type="dxa" w:w="60"/>
              <w:left w:type="dxa" w:w="100"/>
              <w:bottom w:type="dxa" w:w="60"/>
              <w:right w:type="dxa" w:w="100"/>
            </w:tcMar>
            <w:vAlign w:val="center"/>
          </w:tcPr>
          <w:p>
            <w:r>
              <w:rPr>
                <w:sz w:val="20"/>
                <w:szCs w:val="20"/>
              </w:rPr>
              <w:t xml:space="preserve">weather_delay</w:t>
            </w:r>
          </w:p>
        </w:tc>
        <w:tc>
          <w:tcPr>
            <w:tcW w:type="dxa" w:w="4212"/>
            <w:shd w:fill="FFFFFF" w:val="clear"/>
            <w:tcMar>
              <w:top w:type="dxa" w:w="60"/>
              <w:left w:type="dxa" w:w="100"/>
              <w:bottom w:type="dxa" w:w="60"/>
              <w:right w:type="dxa" w:w="100"/>
            </w:tcMar>
            <w:vAlign w:val="center"/>
          </w:tcPr>
          <w:p>
            <w:r>
              <w:rPr>
                <w:sz w:val="20"/>
                <w:szCs w:val="20"/>
              </w:rPr>
              <w:t xml:space="preserve">0.28</w:t>
            </w:r>
          </w:p>
        </w:tc>
      </w:tr>
      <w:tr>
        <w:tc>
          <w:tcPr>
            <w:tcW w:type="dxa" w:w="5148"/>
            <w:shd w:fill="F2F6FB" w:val="clear"/>
            <w:tcMar>
              <w:top w:type="dxa" w:w="60"/>
              <w:left w:type="dxa" w:w="100"/>
              <w:bottom w:type="dxa" w:w="60"/>
              <w:right w:type="dxa" w:w="100"/>
            </w:tcMar>
            <w:vAlign w:val="center"/>
          </w:tcPr>
          <w:p>
            <w:r>
              <w:rPr>
                <w:sz w:val="20"/>
                <w:szCs w:val="20"/>
              </w:rPr>
              <w:t xml:space="preserve">taxi_out</w:t>
            </w:r>
          </w:p>
        </w:tc>
        <w:tc>
          <w:tcPr>
            <w:tcW w:type="dxa" w:w="4212"/>
            <w:shd w:fill="F2F6FB" w:val="clear"/>
            <w:tcMar>
              <w:top w:type="dxa" w:w="60"/>
              <w:left w:type="dxa" w:w="100"/>
              <w:bottom w:type="dxa" w:w="60"/>
              <w:right w:type="dxa" w:w="100"/>
            </w:tcMar>
            <w:vAlign w:val="center"/>
          </w:tcPr>
          <w:p>
            <w:r>
              <w:rPr>
                <w:sz w:val="20"/>
                <w:szCs w:val="20"/>
              </w:rPr>
              <w:t xml:space="preserve">0.24</w:t>
            </w:r>
          </w:p>
        </w:tc>
      </w:tr>
      <w:tr>
        <w:tc>
          <w:tcPr>
            <w:tcW w:type="dxa" w:w="5148"/>
            <w:shd w:fill="FFFFFF" w:val="clear"/>
            <w:tcMar>
              <w:top w:type="dxa" w:w="60"/>
              <w:left w:type="dxa" w:w="100"/>
              <w:bottom w:type="dxa" w:w="60"/>
              <w:right w:type="dxa" w:w="100"/>
            </w:tcMar>
            <w:vAlign w:val="center"/>
          </w:tcPr>
          <w:p>
            <w:r>
              <w:rPr>
                <w:sz w:val="20"/>
                <w:szCs w:val="20"/>
              </w:rPr>
              <w:t xml:space="preserve">distance</w:t>
            </w:r>
          </w:p>
        </w:tc>
        <w:tc>
          <w:tcPr>
            <w:tcW w:type="dxa" w:w="4212"/>
            <w:shd w:fill="FFFFFF" w:val="clear"/>
            <w:tcMar>
              <w:top w:type="dxa" w:w="60"/>
              <w:left w:type="dxa" w:w="100"/>
              <w:bottom w:type="dxa" w:w="60"/>
              <w:right w:type="dxa" w:w="100"/>
            </w:tcMar>
            <w:vAlign w:val="center"/>
          </w:tcPr>
          <w:p>
            <w:r>
              <w:rPr>
                <w:sz w:val="20"/>
                <w:szCs w:val="20"/>
              </w:rPr>
              <w:t xml:space="preserve">-0.03</w:t>
            </w:r>
          </w:p>
        </w:tc>
      </w:tr>
      <w:tr>
        <w:tc>
          <w:tcPr>
            <w:tcW w:type="dxa" w:w="5148"/>
            <w:shd w:fill="F2F6FB" w:val="clear"/>
            <w:tcMar>
              <w:top w:type="dxa" w:w="60"/>
              <w:left w:type="dxa" w:w="100"/>
              <w:bottom w:type="dxa" w:w="60"/>
              <w:right w:type="dxa" w:w="100"/>
            </w:tcMar>
            <w:vAlign w:val="center"/>
          </w:tcPr>
          <w:p>
            <w:r>
              <w:rPr>
                <w:sz w:val="20"/>
                <w:szCs w:val="20"/>
              </w:rPr>
              <w:t xml:space="preserve">air_time</w:t>
            </w:r>
          </w:p>
        </w:tc>
        <w:tc>
          <w:tcPr>
            <w:tcW w:type="dxa" w:w="4212"/>
            <w:shd w:fill="F2F6FB" w:val="clear"/>
            <w:tcMar>
              <w:top w:type="dxa" w:w="60"/>
              <w:left w:type="dxa" w:w="100"/>
              <w:bottom w:type="dxa" w:w="60"/>
              <w:right w:type="dxa" w:w="100"/>
            </w:tcMar>
            <w:vAlign w:val="center"/>
          </w:tcPr>
          <w:p>
            <w:r>
              <w:rPr>
                <w:sz w:val="20"/>
                <w:szCs w:val="20"/>
              </w:rPr>
              <w:t xml:space="preserve">-0.01</w:t>
            </w:r>
          </w:p>
        </w:tc>
      </w:tr>
    </w:tbl>
    <w:p>
      <w:pPr>
        <w:spacing w:after="80"/>
      </w:pPr>
    </w:p>
    <w:p>
      <w:pPr>
        <w:spacing w:after="160"/>
      </w:pPr>
      <w:r>
        <w:t xml:space="preserve">Covariance was computed alongside correlation specifically to show the same relationships in their original units (minutes and miles) rather than the standardised -1 to 1 scale — the covariance between arrival_delay and departure_delay is roughly 1,251.9, a large positive number driven mostly by how spread out both variables are, whereas the correlation of 0.94 makes the strength of that relationship interpretable on its own regardless of scale. Both are reported together because covariance alone can be misleading when comparing variables measured in very different units (e.g. minutes vs. miles), which is exactly the case between distance and the delay columns here.</w:t>
      </w:r>
    </w:p>
    <w:p>
      <w:pPr>
        <w:pStyle w:val="Heading1"/>
        <w:spacing w:after="160" w:before="360"/>
      </w:pPr>
      <w:r>
        <w:t xml:space="preserve">Hypothesis Testing</w:t>
      </w:r>
    </w:p>
    <w:p>
      <w:pPr>
        <w:spacing w:after="160"/>
      </w:pPr>
      <w:r>
        <w:t xml:space="preserve">Three tests were selected specifically because each matches a different type of comparison Sprint 2 raised but could not formally confirm: a t-test for comparing two airlines' average delay, a chi-square test for whether cancellation depends on a categorical variable (airline), and an ANOVA for comparing arrival delay across more than two groups (months) at once.</w:t>
      </w:r>
    </w:p>
    <w:p>
      <w:pPr>
        <w:pStyle w:val="Heading2"/>
        <w:spacing w:after="120" w:before="280"/>
      </w:pPr>
      <w:r>
        <w:t xml:space="preserve">Test 1: Independent T-Test — WN vs DL Arrival Delay</w:t>
      </w:r>
    </w:p>
    <w:p>
      <w:pPr>
        <w:spacing w:after="160"/>
      </w:pPr>
      <w:r>
        <w:rPr>
          <w:b/>
          <w:bCs/>
        </w:rPr>
        <w:t xml:space="preserve">Null Hypothesis (H0): </w:t>
      </w:r>
      <w:r>
        <w:t xml:space="preserve">There is no significant difference in average arrival delay between WN and DL.</w:t>
      </w:r>
    </w:p>
    <w:p>
      <w:pPr>
        <w:spacing w:after="160"/>
      </w:pPr>
      <w:r>
        <w:rPr>
          <w:b/>
          <w:bCs/>
        </w:rPr>
        <w:t xml:space="preserve">Alternate Hypothesis (H1): </w:t>
      </w:r>
      <w:r>
        <w:t xml:space="preserve">There is a significant difference in average arrival delay between WN and DL.</w:t>
      </w:r>
    </w:p>
    <w:p>
      <w:pPr>
        <w:spacing w:after="160"/>
      </w:pPr>
      <w:r>
        <w:t xml:space="preserve">WN and DL were chosen specifically because they are the two largest airlines in the dataset by flight volume (10,946 and 7,488 flights respectively), which gives the test the most statistical power of any airline pair and removes small-sample size as a possible objection to the result. Welch's t-test (equal_var=False) was used instead of the standard Student's t-test because the two airlines' arrival_delay variances are not assumed equal — Welch's version does not require that assumption, which is a safer default when comparing two naturally different-sized, differently-operated airlines.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shd w:fill="1F3864" w:val="clear"/>
            <w:tcMar>
              <w:top w:type="dxa" w:w="80"/>
              <w:left w:type="dxa" w:w="100"/>
              <w:bottom w:type="dxa" w:w="80"/>
              <w:right w:type="dxa" w:w="100"/>
            </w:tcMar>
            <w:vAlign w:val="center"/>
          </w:tcPr>
          <w:p>
            <w:r>
              <w:rPr>
                <w:b/>
                <w:bCs/>
                <w:color w:val="FFFFFF"/>
                <w:sz w:val="20"/>
                <w:szCs w:val="20"/>
              </w:rPr>
              <w:t xml:space="preserve">Metric</w:t>
            </w:r>
          </w:p>
        </w:tc>
        <w:tc>
          <w:tcPr>
            <w:tcW w:type="dxa" w:w="4212"/>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5148"/>
            <w:shd w:fill="FFFFFF" w:val="clear"/>
            <w:tcMar>
              <w:top w:type="dxa" w:w="60"/>
              <w:left w:type="dxa" w:w="100"/>
              <w:bottom w:type="dxa" w:w="60"/>
              <w:right w:type="dxa" w:w="100"/>
            </w:tcMar>
            <w:vAlign w:val="center"/>
          </w:tcPr>
          <w:p>
            <w:r>
              <w:rPr>
                <w:sz w:val="20"/>
                <w:szCs w:val="20"/>
              </w:rPr>
              <w:t xml:space="preserve">WN mean arrival delay (min)</w:t>
            </w:r>
          </w:p>
        </w:tc>
        <w:tc>
          <w:tcPr>
            <w:tcW w:type="dxa" w:w="4212"/>
            <w:shd w:fill="FFFFFF" w:val="clear"/>
            <w:tcMar>
              <w:top w:type="dxa" w:w="60"/>
              <w:left w:type="dxa" w:w="100"/>
              <w:bottom w:type="dxa" w:w="60"/>
              <w:right w:type="dxa" w:w="100"/>
            </w:tcMar>
            <w:vAlign w:val="center"/>
          </w:tcPr>
          <w:p>
            <w:r>
              <w:rPr>
                <w:sz w:val="20"/>
                <w:szCs w:val="20"/>
              </w:rPr>
              <w:t xml:space="preserve">4.39</w:t>
            </w:r>
          </w:p>
        </w:tc>
      </w:tr>
      <w:tr>
        <w:tc>
          <w:tcPr>
            <w:tcW w:type="dxa" w:w="5148"/>
            <w:shd w:fill="F2F6FB" w:val="clear"/>
            <w:tcMar>
              <w:top w:type="dxa" w:w="60"/>
              <w:left w:type="dxa" w:w="100"/>
              <w:bottom w:type="dxa" w:w="60"/>
              <w:right w:type="dxa" w:w="100"/>
            </w:tcMar>
            <w:vAlign w:val="center"/>
          </w:tcPr>
          <w:p>
            <w:r>
              <w:rPr>
                <w:sz w:val="20"/>
                <w:szCs w:val="20"/>
              </w:rPr>
              <w:t xml:space="preserve">DL mean arrival delay (min)</w:t>
            </w:r>
          </w:p>
        </w:tc>
        <w:tc>
          <w:tcPr>
            <w:tcW w:type="dxa" w:w="4212"/>
            <w:shd w:fill="F2F6FB" w:val="clear"/>
            <w:tcMar>
              <w:top w:type="dxa" w:w="60"/>
              <w:left w:type="dxa" w:w="100"/>
              <w:bottom w:type="dxa" w:w="60"/>
              <w:right w:type="dxa" w:w="100"/>
            </w:tcMar>
            <w:vAlign w:val="center"/>
          </w:tcPr>
          <w:p>
            <w:r>
              <w:rPr>
                <w:sz w:val="20"/>
                <w:szCs w:val="20"/>
              </w:rPr>
              <w:t xml:space="preserve">0.26</w:t>
            </w:r>
          </w:p>
        </w:tc>
      </w:tr>
      <w:tr>
        <w:tc>
          <w:tcPr>
            <w:tcW w:type="dxa" w:w="5148"/>
            <w:shd w:fill="FFFFFF" w:val="clear"/>
            <w:tcMar>
              <w:top w:type="dxa" w:w="60"/>
              <w:left w:type="dxa" w:w="100"/>
              <w:bottom w:type="dxa" w:w="60"/>
              <w:right w:type="dxa" w:w="100"/>
            </w:tcMar>
            <w:vAlign w:val="center"/>
          </w:tcPr>
          <w:p>
            <w:r>
              <w:rPr>
                <w:sz w:val="20"/>
                <w:szCs w:val="20"/>
              </w:rPr>
              <w:t xml:space="preserve">t-statistic</w:t>
            </w:r>
          </w:p>
        </w:tc>
        <w:tc>
          <w:tcPr>
            <w:tcW w:type="dxa" w:w="4212"/>
            <w:shd w:fill="FFFFFF" w:val="clear"/>
            <w:tcMar>
              <w:top w:type="dxa" w:w="60"/>
              <w:left w:type="dxa" w:w="100"/>
              <w:bottom w:type="dxa" w:w="60"/>
              <w:right w:type="dxa" w:w="100"/>
            </w:tcMar>
            <w:vAlign w:val="center"/>
          </w:tcPr>
          <w:p>
            <w:r>
              <w:rPr>
                <w:sz w:val="20"/>
                <w:szCs w:val="20"/>
              </w:rPr>
              <w:t xml:space="preserve">7.98</w:t>
            </w:r>
          </w:p>
        </w:tc>
      </w:tr>
      <w:tr>
        <w:tc>
          <w:tcPr>
            <w:tcW w:type="dxa" w:w="5148"/>
            <w:shd w:fill="F2F6FB" w:val="clear"/>
            <w:tcMar>
              <w:top w:type="dxa" w:w="60"/>
              <w:left w:type="dxa" w:w="100"/>
              <w:bottom w:type="dxa" w:w="60"/>
              <w:right w:type="dxa" w:w="100"/>
            </w:tcMar>
            <w:vAlign w:val="center"/>
          </w:tcPr>
          <w:p>
            <w:r>
              <w:rPr>
                <w:sz w:val="20"/>
                <w:szCs w:val="20"/>
              </w:rPr>
              <w:t xml:space="preserve">p-value</w:t>
            </w:r>
          </w:p>
        </w:tc>
        <w:tc>
          <w:tcPr>
            <w:tcW w:type="dxa" w:w="4212"/>
            <w:shd w:fill="F2F6FB" w:val="clear"/>
            <w:tcMar>
              <w:top w:type="dxa" w:w="60"/>
              <w:left w:type="dxa" w:w="100"/>
              <w:bottom w:type="dxa" w:w="60"/>
              <w:right w:type="dxa" w:w="100"/>
            </w:tcMar>
            <w:vAlign w:val="center"/>
          </w:tcPr>
          <w:p>
            <w:r>
              <w:rPr>
                <w:sz w:val="20"/>
                <w:szCs w:val="20"/>
              </w:rPr>
              <w:t xml:space="preserve">1.59 × 10⁻¹⁵</w:t>
            </w:r>
          </w:p>
        </w:tc>
      </w:tr>
      <w:tr>
        <w:tc>
          <w:tcPr>
            <w:tcW w:type="dxa" w:w="5148"/>
            <w:shd w:fill="FFFFFF" w:val="clear"/>
            <w:tcMar>
              <w:top w:type="dxa" w:w="60"/>
              <w:left w:type="dxa" w:w="100"/>
              <w:bottom w:type="dxa" w:w="60"/>
              <w:right w:type="dxa" w:w="100"/>
            </w:tcMar>
            <w:vAlign w:val="center"/>
          </w:tcPr>
          <w:p>
            <w:r>
              <w:rPr>
                <w:sz w:val="20"/>
                <w:szCs w:val="20"/>
              </w:rPr>
              <w:t xml:space="preserve">Decision (α = 0.05)</w:t>
            </w:r>
          </w:p>
        </w:tc>
        <w:tc>
          <w:tcPr>
            <w:tcW w:type="dxa" w:w="4212"/>
            <w:shd w:fill="FFFFFF" w:val="clear"/>
            <w:tcMar>
              <w:top w:type="dxa" w:w="60"/>
              <w:left w:type="dxa" w:w="100"/>
              <w:bottom w:type="dxa" w:w="60"/>
              <w:right w:type="dxa" w:w="100"/>
            </w:tcMar>
            <w:vAlign w:val="center"/>
          </w:tcPr>
          <w:p>
            <w:r>
              <w:rPr>
                <w:sz w:val="20"/>
                <w:szCs w:val="20"/>
              </w:rPr>
              <w:t xml:space="preserve">Reject H0</w:t>
            </w:r>
          </w:p>
        </w:tc>
      </w:tr>
    </w:tbl>
    <w:p>
      <w:pPr>
        <w:spacing w:after="80"/>
      </w:pPr>
    </w:p>
    <w:p>
      <w:pPr>
        <w:spacing w:after="160"/>
      </w:pPr>
      <w:r>
        <w:t xml:space="preserve">Business Interpretation: the p-value is far smaller than 0.05, so the null hypothesis is rejected. WN's higher average arrival delay compared to DL, first observed descriptively in Sprint 2, is statistically significant and not attributable to random variation. This upgrades the Sprint 2 observation from a descriptive pattern to a validated finding that can support a formal operational review recommendation for WN.</w:t>
      </w:r>
    </w:p>
    <w:p>
      <w:pPr>
        <w:pStyle w:val="Heading2"/>
        <w:spacing w:after="120" w:before="280"/>
      </w:pPr>
      <w:r>
        <w:t xml:space="preserve">Test 2: Chi-Square Test of Independence — Airline vs Cancellation</w:t>
      </w:r>
    </w:p>
    <w:p>
      <w:pPr>
        <w:spacing w:after="160"/>
      </w:pPr>
      <w:r>
        <w:rPr>
          <w:b/>
          <w:bCs/>
        </w:rPr>
        <w:t xml:space="preserve">Null Hypothesis (H0): </w:t>
      </w:r>
      <w:r>
        <w:t xml:space="preserve">Airline and flight cancellation are independent of each other.</w:t>
      </w:r>
    </w:p>
    <w:p>
      <w:pPr>
        <w:spacing w:after="160"/>
      </w:pPr>
      <w:r>
        <w:rPr>
          <w:b/>
          <w:bCs/>
        </w:rPr>
        <w:t xml:space="preserve">Alternate Hypothesis (H1): </w:t>
      </w:r>
      <w:r>
        <w:t xml:space="preserve">Airline and flight cancellation are not independent — cancellation rate depends on the airline.</w:t>
      </w:r>
    </w:p>
    <w:p>
      <w:pPr>
        <w:spacing w:after="160"/>
      </w:pPr>
      <w:r>
        <w:t xml:space="preserve">A chi-square test was used here, rather than a t-test, because both variables involved — airline and cancelled — are categorical, not numeric, and a t-test cannot be applied to counts of a yes/no outcome across more than two groups. The test was built on a contingency table of airline against cancelled (0/1) counts, which is the standard input this test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shd w:fill="1F3864" w:val="clear"/>
            <w:tcMar>
              <w:top w:type="dxa" w:w="80"/>
              <w:left w:type="dxa" w:w="100"/>
              <w:bottom w:type="dxa" w:w="80"/>
              <w:right w:type="dxa" w:w="100"/>
            </w:tcMar>
            <w:vAlign w:val="center"/>
          </w:tcPr>
          <w:p>
            <w:r>
              <w:rPr>
                <w:b/>
                <w:bCs/>
                <w:color w:val="FFFFFF"/>
                <w:sz w:val="20"/>
                <w:szCs w:val="20"/>
              </w:rPr>
              <w:t xml:space="preserve">Metric</w:t>
            </w:r>
          </w:p>
        </w:tc>
        <w:tc>
          <w:tcPr>
            <w:tcW w:type="dxa" w:w="4212"/>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5148"/>
            <w:shd w:fill="FFFFFF" w:val="clear"/>
            <w:tcMar>
              <w:top w:type="dxa" w:w="60"/>
              <w:left w:type="dxa" w:w="100"/>
              <w:bottom w:type="dxa" w:w="60"/>
              <w:right w:type="dxa" w:w="100"/>
            </w:tcMar>
            <w:vAlign w:val="center"/>
          </w:tcPr>
          <w:p>
            <w:r>
              <w:rPr>
                <w:sz w:val="20"/>
                <w:szCs w:val="20"/>
              </w:rPr>
              <w:t xml:space="preserve">Chi-square statistic</w:t>
            </w:r>
          </w:p>
        </w:tc>
        <w:tc>
          <w:tcPr>
            <w:tcW w:type="dxa" w:w="4212"/>
            <w:shd w:fill="FFFFFF" w:val="clear"/>
            <w:tcMar>
              <w:top w:type="dxa" w:w="60"/>
              <w:left w:type="dxa" w:w="100"/>
              <w:bottom w:type="dxa" w:w="60"/>
              <w:right w:type="dxa" w:w="100"/>
            </w:tcMar>
            <w:vAlign w:val="center"/>
          </w:tcPr>
          <w:p>
            <w:r>
              <w:rPr>
                <w:sz w:val="20"/>
                <w:szCs w:val="20"/>
              </w:rPr>
              <w:t xml:space="preserve">390.53</w:t>
            </w:r>
          </w:p>
        </w:tc>
      </w:tr>
      <w:tr>
        <w:tc>
          <w:tcPr>
            <w:tcW w:type="dxa" w:w="5148"/>
            <w:shd w:fill="F2F6FB" w:val="clear"/>
            <w:tcMar>
              <w:top w:type="dxa" w:w="60"/>
              <w:left w:type="dxa" w:w="100"/>
              <w:bottom w:type="dxa" w:w="60"/>
              <w:right w:type="dxa" w:w="100"/>
            </w:tcMar>
            <w:vAlign w:val="center"/>
          </w:tcPr>
          <w:p>
            <w:r>
              <w:rPr>
                <w:sz w:val="20"/>
                <w:szCs w:val="20"/>
              </w:rPr>
              <w:t xml:space="preserve">Degrees of freedom</w:t>
            </w:r>
          </w:p>
        </w:tc>
        <w:tc>
          <w:tcPr>
            <w:tcW w:type="dxa" w:w="4212"/>
            <w:shd w:fill="F2F6FB" w:val="clear"/>
            <w:tcMar>
              <w:top w:type="dxa" w:w="60"/>
              <w:left w:type="dxa" w:w="100"/>
              <w:bottom w:type="dxa" w:w="60"/>
              <w:right w:type="dxa" w:w="100"/>
            </w:tcMar>
            <w:vAlign w:val="center"/>
          </w:tcPr>
          <w:p>
            <w:r>
              <w:rPr>
                <w:sz w:val="20"/>
                <w:szCs w:val="20"/>
              </w:rPr>
              <w:t xml:space="preserve">13</w:t>
            </w:r>
          </w:p>
        </w:tc>
      </w:tr>
      <w:tr>
        <w:tc>
          <w:tcPr>
            <w:tcW w:type="dxa" w:w="5148"/>
            <w:shd w:fill="FFFFFF" w:val="clear"/>
            <w:tcMar>
              <w:top w:type="dxa" w:w="60"/>
              <w:left w:type="dxa" w:w="100"/>
              <w:bottom w:type="dxa" w:w="60"/>
              <w:right w:type="dxa" w:w="100"/>
            </w:tcMar>
            <w:vAlign w:val="center"/>
          </w:tcPr>
          <w:p>
            <w:r>
              <w:rPr>
                <w:sz w:val="20"/>
                <w:szCs w:val="20"/>
              </w:rPr>
              <w:t xml:space="preserve">p-value</w:t>
            </w:r>
          </w:p>
        </w:tc>
        <w:tc>
          <w:tcPr>
            <w:tcW w:type="dxa" w:w="4212"/>
            <w:shd w:fill="FFFFFF" w:val="clear"/>
            <w:tcMar>
              <w:top w:type="dxa" w:w="60"/>
              <w:left w:type="dxa" w:w="100"/>
              <w:bottom w:type="dxa" w:w="60"/>
              <w:right w:type="dxa" w:w="100"/>
            </w:tcMar>
            <w:vAlign w:val="center"/>
          </w:tcPr>
          <w:p>
            <w:r>
              <w:rPr>
                <w:sz w:val="20"/>
                <w:szCs w:val="20"/>
              </w:rPr>
              <w:t xml:space="preserve">2.23 × 10⁻⁷⁵</w:t>
            </w:r>
          </w:p>
        </w:tc>
      </w:tr>
      <w:tr>
        <w:tc>
          <w:tcPr>
            <w:tcW w:type="dxa" w:w="5148"/>
            <w:shd w:fill="F2F6FB" w:val="clear"/>
            <w:tcMar>
              <w:top w:type="dxa" w:w="60"/>
              <w:left w:type="dxa" w:w="100"/>
              <w:bottom w:type="dxa" w:w="60"/>
              <w:right w:type="dxa" w:w="100"/>
            </w:tcMar>
            <w:vAlign w:val="center"/>
          </w:tcPr>
          <w:p>
            <w:r>
              <w:rPr>
                <w:sz w:val="20"/>
                <w:szCs w:val="20"/>
              </w:rPr>
              <w:t xml:space="preserve">Decision (α = 0.05)</w:t>
            </w:r>
          </w:p>
        </w:tc>
        <w:tc>
          <w:tcPr>
            <w:tcW w:type="dxa" w:w="4212"/>
            <w:shd w:fill="F2F6FB" w:val="clear"/>
            <w:tcMar>
              <w:top w:type="dxa" w:w="60"/>
              <w:left w:type="dxa" w:w="100"/>
              <w:bottom w:type="dxa" w:w="60"/>
              <w:right w:type="dxa" w:w="100"/>
            </w:tcMar>
            <w:vAlign w:val="center"/>
          </w:tcPr>
          <w:p>
            <w:r>
              <w:rPr>
                <w:sz w:val="20"/>
                <w:szCs w:val="20"/>
              </w:rPr>
              <w:t xml:space="preserve">Reject H0</w:t>
            </w:r>
          </w:p>
        </w:tc>
      </w:tr>
    </w:tbl>
    <w:p>
      <w:pPr>
        <w:spacing w:after="80"/>
      </w:pPr>
    </w:p>
    <w:p>
      <w:pPr>
        <w:spacing w:after="160"/>
      </w:pPr>
      <w:r>
        <w:t xml:space="preserve">Business Interpretation: the extremely small p-value leads to rejecting H0 — cancellation rate is statistically dependent on which airline operated the flight. This formally validates the Sprint 2 crosstab finding that MQ (5.12%) and EV (3.02%) cancel at far higher rates than AS (0.13%): the difference is a genuine airline-level pattern, not something that would be expected to occur by chance if all airlines truly cancelled at the same underlying rate.</w:t>
      </w:r>
    </w:p>
    <w:p>
      <w:pPr>
        <w:pStyle w:val="Heading2"/>
        <w:spacing w:after="120" w:before="280"/>
      </w:pPr>
      <w:r>
        <w:t xml:space="preserve">Test 3: One-Way ANOVA — Month vs Arrival Delay</w:t>
      </w:r>
    </w:p>
    <w:p>
      <w:pPr>
        <w:spacing w:after="160"/>
      </w:pPr>
      <w:r>
        <w:rPr>
          <w:b/>
          <w:bCs/>
        </w:rPr>
        <w:t xml:space="preserve">Null Hypothesis (H0): </w:t>
      </w:r>
      <w:r>
        <w:t xml:space="preserve">Average arrival delay is the same across all twelve months.</w:t>
      </w:r>
    </w:p>
    <w:p>
      <w:pPr>
        <w:spacing w:after="160"/>
      </w:pPr>
      <w:r>
        <w:rPr>
          <w:b/>
          <w:bCs/>
        </w:rPr>
        <w:t xml:space="preserve">Alternate Hypothesis (H1): </w:t>
      </w:r>
      <w:r>
        <w:t xml:space="preserve">At least one month has a significantly different average arrival delay from the others.</w:t>
      </w:r>
    </w:p>
    <w:p>
      <w:pPr>
        <w:spacing w:after="160"/>
      </w:pPr>
      <w:r>
        <w:t xml:space="preserve">ANOVA was chosen instead of running multiple t-tests because there are twelve months to compare at once, and running t-tests on every possible pair would both be impractical and would inflate the chance of a false positive across so many comparisons. ANOVA tests all twelve groups in a single test by comparing the variance between month-level means to the variance within each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shd w:fill="1F3864" w:val="clear"/>
            <w:tcMar>
              <w:top w:type="dxa" w:w="80"/>
              <w:left w:type="dxa" w:w="100"/>
              <w:bottom w:type="dxa" w:w="80"/>
              <w:right w:type="dxa" w:w="100"/>
            </w:tcMar>
            <w:vAlign w:val="center"/>
          </w:tcPr>
          <w:p>
            <w:r>
              <w:rPr>
                <w:b/>
                <w:bCs/>
                <w:color w:val="FFFFFF"/>
                <w:sz w:val="20"/>
                <w:szCs w:val="20"/>
              </w:rPr>
              <w:t xml:space="preserve">Metric</w:t>
            </w:r>
          </w:p>
        </w:tc>
        <w:tc>
          <w:tcPr>
            <w:tcW w:type="dxa" w:w="4212"/>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5148"/>
            <w:shd w:fill="FFFFFF" w:val="clear"/>
            <w:tcMar>
              <w:top w:type="dxa" w:w="60"/>
              <w:left w:type="dxa" w:w="100"/>
              <w:bottom w:type="dxa" w:w="60"/>
              <w:right w:type="dxa" w:w="100"/>
            </w:tcMar>
            <w:vAlign w:val="center"/>
          </w:tcPr>
          <w:p>
            <w:r>
              <w:rPr>
                <w:sz w:val="20"/>
                <w:szCs w:val="20"/>
              </w:rPr>
              <w:t xml:space="preserve">F-statistic</w:t>
            </w:r>
          </w:p>
        </w:tc>
        <w:tc>
          <w:tcPr>
            <w:tcW w:type="dxa" w:w="4212"/>
            <w:shd w:fill="FFFFFF" w:val="clear"/>
            <w:tcMar>
              <w:top w:type="dxa" w:w="60"/>
              <w:left w:type="dxa" w:w="100"/>
              <w:bottom w:type="dxa" w:w="60"/>
              <w:right w:type="dxa" w:w="100"/>
            </w:tcMar>
            <w:vAlign w:val="center"/>
          </w:tcPr>
          <w:p>
            <w:r>
              <w:rPr>
                <w:sz w:val="20"/>
                <w:szCs w:val="20"/>
              </w:rPr>
              <w:t xml:space="preserve">33.62</w:t>
            </w:r>
          </w:p>
        </w:tc>
      </w:tr>
      <w:tr>
        <w:tc>
          <w:tcPr>
            <w:tcW w:type="dxa" w:w="5148"/>
            <w:shd w:fill="F2F6FB" w:val="clear"/>
            <w:tcMar>
              <w:top w:type="dxa" w:w="60"/>
              <w:left w:type="dxa" w:w="100"/>
              <w:bottom w:type="dxa" w:w="60"/>
              <w:right w:type="dxa" w:w="100"/>
            </w:tcMar>
            <w:vAlign w:val="center"/>
          </w:tcPr>
          <w:p>
            <w:r>
              <w:rPr>
                <w:sz w:val="20"/>
                <w:szCs w:val="20"/>
              </w:rPr>
              <w:t xml:space="preserve">p-value</w:t>
            </w:r>
          </w:p>
        </w:tc>
        <w:tc>
          <w:tcPr>
            <w:tcW w:type="dxa" w:w="4212"/>
            <w:shd w:fill="F2F6FB" w:val="clear"/>
            <w:tcMar>
              <w:top w:type="dxa" w:w="60"/>
              <w:left w:type="dxa" w:w="100"/>
              <w:bottom w:type="dxa" w:w="60"/>
              <w:right w:type="dxa" w:w="100"/>
            </w:tcMar>
            <w:vAlign w:val="center"/>
          </w:tcPr>
          <w:p>
            <w:r>
              <w:rPr>
                <w:sz w:val="20"/>
                <w:szCs w:val="20"/>
              </w:rPr>
              <w:t xml:space="preserve">3.02 × 10⁻⁷²</w:t>
            </w:r>
          </w:p>
        </w:tc>
      </w:tr>
      <w:tr>
        <w:tc>
          <w:tcPr>
            <w:tcW w:type="dxa" w:w="5148"/>
            <w:shd w:fill="FFFFFF" w:val="clear"/>
            <w:tcMar>
              <w:top w:type="dxa" w:w="60"/>
              <w:left w:type="dxa" w:w="100"/>
              <w:bottom w:type="dxa" w:w="60"/>
              <w:right w:type="dxa" w:w="100"/>
            </w:tcMar>
            <w:vAlign w:val="center"/>
          </w:tcPr>
          <w:p>
            <w:r>
              <w:rPr>
                <w:sz w:val="20"/>
                <w:szCs w:val="20"/>
              </w:rPr>
              <w:t xml:space="preserve">Decision (α = 0.05)</w:t>
            </w:r>
          </w:p>
        </w:tc>
        <w:tc>
          <w:tcPr>
            <w:tcW w:type="dxa" w:w="4212"/>
            <w:shd w:fill="FFFFFF" w:val="clear"/>
            <w:tcMar>
              <w:top w:type="dxa" w:w="60"/>
              <w:left w:type="dxa" w:w="100"/>
              <w:bottom w:type="dxa" w:w="60"/>
              <w:right w:type="dxa" w:w="100"/>
            </w:tcMar>
            <w:vAlign w:val="center"/>
          </w:tcPr>
          <w:p>
            <w:r>
              <w:rPr>
                <w:sz w:val="20"/>
                <w:szCs w:val="20"/>
              </w:rPr>
              <w:t xml:space="preserve">Reject H0</w:t>
            </w:r>
          </w:p>
        </w:tc>
      </w:tr>
    </w:tbl>
    <w:p>
      <w:pPr>
        <w:spacing w:after="80"/>
      </w:pPr>
    </w:p>
    <w:p>
      <w:pPr>
        <w:spacing w:after="160"/>
      </w:pPr>
      <w:r>
        <w:t xml:space="preserve">Business Interpretation: the p-value is far below 0.05, so H0 is rejected — average arrival delay genuinely differs by month rather than fluctuating randomly around one overall average. This statistically validates the seasonal pattern flagged descriptively in Sprint 2 (February and June running well above other months) and is the direct evidence base for recommending seasonal, rather than flat, scheduling buffers.</w:t>
      </w:r>
    </w:p>
    <w:p>
      <w:pPr>
        <w:pStyle w:val="Heading1"/>
        <w:spacing w:after="160" w:before="360"/>
      </w:pPr>
      <w:r>
        <w:t xml:space="preserve">Confidence Interval Analysis</w:t>
      </w:r>
    </w:p>
    <w:p>
      <w:pPr>
        <w:spacing w:after="160"/>
      </w:pPr>
      <w:r>
        <w:t xml:space="preserve">A single sample mean (e.g. "average arrival delay is 4.00 minutes") says nothing about how much that estimate could vary if a different 50,000 flights were sampled. A 95% confidence interval was constructed for the two most business-relevant averages — arrival_delay and departure_delay — using the t-distribution, which is the correct choice here given the very large sample size and the fact that the population standard deviation is unknown and estimated from the sample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340"/>
        <w:gridCol w:w="3276"/>
      </w:tblGrid>
      <w:tr>
        <w:trPr>
          <w:tblHeader/>
        </w:trPr>
        <w:tc>
          <w:tcPr>
            <w:tcW w:type="dxa" w:w="3744"/>
            <w:shd w:fill="1F3864" w:val="clear"/>
            <w:tcMar>
              <w:top w:type="dxa" w:w="80"/>
              <w:left w:type="dxa" w:w="100"/>
              <w:bottom w:type="dxa" w:w="80"/>
              <w:right w:type="dxa" w:w="100"/>
            </w:tcMar>
            <w:vAlign w:val="center"/>
          </w:tcPr>
          <w:p>
            <w:r>
              <w:rPr>
                <w:b/>
                <w:bCs/>
                <w:color w:val="FFFFFF"/>
                <w:sz w:val="20"/>
                <w:szCs w:val="20"/>
              </w:rPr>
              <w:t xml:space="preserve">Metric</w:t>
            </w:r>
          </w:p>
        </w:tc>
        <w:tc>
          <w:tcPr>
            <w:tcW w:type="dxa" w:w="2340"/>
            <w:shd w:fill="1F3864" w:val="clear"/>
            <w:tcMar>
              <w:top w:type="dxa" w:w="80"/>
              <w:left w:type="dxa" w:w="100"/>
              <w:bottom w:type="dxa" w:w="80"/>
              <w:right w:type="dxa" w:w="100"/>
            </w:tcMar>
            <w:vAlign w:val="center"/>
          </w:tcPr>
          <w:p>
            <w:r>
              <w:rPr>
                <w:b/>
                <w:bCs/>
                <w:color w:val="FFFFFF"/>
                <w:sz w:val="20"/>
                <w:szCs w:val="20"/>
              </w:rPr>
              <w:t xml:space="preserve">Point Estimate (min)</w:t>
            </w:r>
          </w:p>
        </w:tc>
        <w:tc>
          <w:tcPr>
            <w:tcW w:type="dxa" w:w="3276"/>
            <w:shd w:fill="1F3864" w:val="clear"/>
            <w:tcMar>
              <w:top w:type="dxa" w:w="80"/>
              <w:left w:type="dxa" w:w="100"/>
              <w:bottom w:type="dxa" w:w="80"/>
              <w:right w:type="dxa" w:w="100"/>
            </w:tcMar>
            <w:vAlign w:val="center"/>
          </w:tcPr>
          <w:p>
            <w:r>
              <w:rPr>
                <w:b/>
                <w:bCs/>
                <w:color w:val="FFFFFF"/>
                <w:sz w:val="20"/>
                <w:szCs w:val="20"/>
              </w:rPr>
              <w:t xml:space="preserve">95% Confidence Interval (min)</w:t>
            </w:r>
          </w:p>
        </w:tc>
      </w:tr>
      <w:tr>
        <w:tc>
          <w:tcPr>
            <w:tcW w:type="dxa" w:w="3744"/>
            <w:shd w:fill="FFFFFF" w:val="clear"/>
            <w:tcMar>
              <w:top w:type="dxa" w:w="60"/>
              <w:left w:type="dxa" w:w="100"/>
              <w:bottom w:type="dxa" w:w="60"/>
              <w:right w:type="dxa" w:w="100"/>
            </w:tcMar>
            <w:vAlign w:val="center"/>
          </w:tcPr>
          <w:p>
            <w:r>
              <w:rPr>
                <w:sz w:val="20"/>
                <w:szCs w:val="20"/>
              </w:rPr>
              <w:t xml:space="preserve">Mean arrival delay</w:t>
            </w:r>
          </w:p>
        </w:tc>
        <w:tc>
          <w:tcPr>
            <w:tcW w:type="dxa" w:w="2340"/>
            <w:shd w:fill="FFFFFF" w:val="clear"/>
            <w:tcMar>
              <w:top w:type="dxa" w:w="60"/>
              <w:left w:type="dxa" w:w="100"/>
              <w:bottom w:type="dxa" w:w="60"/>
              <w:right w:type="dxa" w:w="100"/>
            </w:tcMar>
            <w:vAlign w:val="center"/>
          </w:tcPr>
          <w:p>
            <w:r>
              <w:rPr>
                <w:sz w:val="20"/>
                <w:szCs w:val="20"/>
              </w:rPr>
              <w:t xml:space="preserve">4.00</w:t>
            </w:r>
          </w:p>
        </w:tc>
        <w:tc>
          <w:tcPr>
            <w:tcW w:type="dxa" w:w="3276"/>
            <w:shd w:fill="FFFFFF" w:val="clear"/>
            <w:tcMar>
              <w:top w:type="dxa" w:w="60"/>
              <w:left w:type="dxa" w:w="100"/>
              <w:bottom w:type="dxa" w:w="60"/>
              <w:right w:type="dxa" w:w="100"/>
            </w:tcMar>
            <w:vAlign w:val="center"/>
          </w:tcPr>
          <w:p>
            <w:r>
              <w:rPr>
                <w:sz w:val="20"/>
                <w:szCs w:val="20"/>
              </w:rPr>
              <w:t xml:space="preserve">(3.67, 4.33)</w:t>
            </w:r>
          </w:p>
        </w:tc>
      </w:tr>
      <w:tr>
        <w:tc>
          <w:tcPr>
            <w:tcW w:type="dxa" w:w="3744"/>
            <w:shd w:fill="F2F6FB" w:val="clear"/>
            <w:tcMar>
              <w:top w:type="dxa" w:w="60"/>
              <w:left w:type="dxa" w:w="100"/>
              <w:bottom w:type="dxa" w:w="60"/>
              <w:right w:type="dxa" w:w="100"/>
            </w:tcMar>
            <w:vAlign w:val="center"/>
          </w:tcPr>
          <w:p>
            <w:r>
              <w:rPr>
                <w:sz w:val="20"/>
                <w:szCs w:val="20"/>
              </w:rPr>
              <w:t xml:space="preserve">Mean departure delay</w:t>
            </w:r>
          </w:p>
        </w:tc>
        <w:tc>
          <w:tcPr>
            <w:tcW w:type="dxa" w:w="2340"/>
            <w:shd w:fill="F2F6FB" w:val="clear"/>
            <w:tcMar>
              <w:top w:type="dxa" w:w="60"/>
              <w:left w:type="dxa" w:w="100"/>
              <w:bottom w:type="dxa" w:w="60"/>
              <w:right w:type="dxa" w:w="100"/>
            </w:tcMar>
            <w:vAlign w:val="center"/>
          </w:tcPr>
          <w:p>
            <w:r>
              <w:rPr>
                <w:sz w:val="20"/>
                <w:szCs w:val="20"/>
              </w:rPr>
              <w:t xml:space="preserve">9.09</w:t>
            </w:r>
          </w:p>
        </w:tc>
        <w:tc>
          <w:tcPr>
            <w:tcW w:type="dxa" w:w="3276"/>
            <w:shd w:fill="F2F6FB" w:val="clear"/>
            <w:tcMar>
              <w:top w:type="dxa" w:w="60"/>
              <w:left w:type="dxa" w:w="100"/>
              <w:bottom w:type="dxa" w:w="60"/>
              <w:right w:type="dxa" w:w="100"/>
            </w:tcMar>
            <w:vAlign w:val="center"/>
          </w:tcPr>
          <w:p>
            <w:r>
              <w:rPr>
                <w:sz w:val="20"/>
                <w:szCs w:val="20"/>
              </w:rPr>
              <w:t xml:space="preserve">(8.77, 9.40)</w:t>
            </w:r>
          </w:p>
        </w:tc>
      </w:tr>
    </w:tbl>
    <w:p>
      <w:pPr>
        <w:spacing w:after="80"/>
      </w:pPr>
    </w:p>
    <w:p>
      <w:pPr>
        <w:spacing w:after="160"/>
      </w:pPr>
      <w:r>
        <w:t xml:space="preserve">Both intervals are narrow — under one minute wide — which is a direct consequence of the large sample size (50,000 flights) rather than low variability in the data itself (recall the standard deviation of arrival_delay is 37.75 minutes, much larger than the interval width). This distinction matters for how these numbers should be used: the network-level average delay can be treated as a reliable planning figure, but that reliability applies to the average, not to any individual flight, which can still vary enormously around it.</w:t>
      </w:r>
    </w:p>
    <w:p>
      <w:pPr>
        <w:pStyle w:val="Heading1"/>
        <w:spacing w:after="160" w:before="360"/>
      </w:pPr>
      <w:r>
        <w:t xml:space="preserve">Feature Engineering</w:t>
      </w:r>
    </w:p>
    <w:p>
      <w:pPr>
        <w:spacing w:after="160"/>
      </w:pPr>
      <w:r>
        <w:t xml:space="preserve">Eight features were engineered in this sprint, each chosen to translate a Sprint 2 finding into something usable at the level of an individual flight rather than only as an airline- or month-level average. Every feature below is justified against a specific business use, not created for its own sake.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557"/>
        <w:gridCol w:w="3744"/>
      </w:tblGrid>
      <w:tr>
        <w:trPr>
          <w:tblHeader/>
        </w:trPr>
        <w:tc>
          <w:tcPr>
            <w:tcW w:type="dxa" w:w="2059"/>
            <w:shd w:fill="1F3864" w:val="clear"/>
            <w:tcMar>
              <w:top w:type="dxa" w:w="80"/>
              <w:left w:type="dxa" w:w="100"/>
              <w:bottom w:type="dxa" w:w="80"/>
              <w:right w:type="dxa" w:w="100"/>
            </w:tcMar>
            <w:vAlign w:val="center"/>
          </w:tcPr>
          <w:p>
            <w:r>
              <w:rPr>
                <w:b/>
                <w:bCs/>
                <w:color w:val="FFFFFF"/>
                <w:sz w:val="20"/>
                <w:szCs w:val="20"/>
              </w:rPr>
              <w:t xml:space="preserve">Feature</w:t>
            </w:r>
          </w:p>
        </w:tc>
        <w:tc>
          <w:tcPr>
            <w:tcW w:type="dxa" w:w="3557"/>
            <w:shd w:fill="1F3864" w:val="clear"/>
            <w:tcMar>
              <w:top w:type="dxa" w:w="80"/>
              <w:left w:type="dxa" w:w="100"/>
              <w:bottom w:type="dxa" w:w="80"/>
              <w:right w:type="dxa" w:w="100"/>
            </w:tcMar>
            <w:vAlign w:val="center"/>
          </w:tcPr>
          <w:p>
            <w:r>
              <w:rPr>
                <w:b/>
                <w:bCs/>
                <w:color w:val="FFFFFF"/>
                <w:sz w:val="20"/>
                <w:szCs w:val="20"/>
              </w:rPr>
              <w:t xml:space="preserve">Definition</w:t>
            </w:r>
          </w:p>
        </w:tc>
        <w:tc>
          <w:tcPr>
            <w:tcW w:type="dxa" w:w="3744"/>
            <w:shd w:fill="1F3864" w:val="clear"/>
            <w:tcMar>
              <w:top w:type="dxa" w:w="80"/>
              <w:left w:type="dxa" w:w="100"/>
              <w:bottom w:type="dxa" w:w="80"/>
              <w:right w:type="dxa" w:w="100"/>
            </w:tcMar>
            <w:vAlign w:val="center"/>
          </w:tcPr>
          <w:p>
            <w:r>
              <w:rPr>
                <w:b/>
                <w:bCs/>
                <w:color w:val="FFFFFF"/>
                <w:sz w:val="20"/>
                <w:szCs w:val="20"/>
              </w:rPr>
              <w:t xml:space="preserve">Business Purpose</w:t>
            </w:r>
          </w:p>
        </w:tc>
      </w:tr>
      <w:tr>
        <w:tc>
          <w:tcPr>
            <w:tcW w:type="dxa" w:w="2059"/>
            <w:shd w:fill="FFFFFF" w:val="clear"/>
            <w:tcMar>
              <w:top w:type="dxa" w:w="60"/>
              <w:left w:type="dxa" w:w="100"/>
              <w:bottom w:type="dxa" w:w="60"/>
              <w:right w:type="dxa" w:w="100"/>
            </w:tcMar>
            <w:vAlign w:val="center"/>
          </w:tcPr>
          <w:p>
            <w:r>
              <w:rPr>
                <w:sz w:val="20"/>
                <w:szCs w:val="20"/>
              </w:rPr>
              <w:t xml:space="preserve">delay_category</w:t>
            </w:r>
          </w:p>
        </w:tc>
        <w:tc>
          <w:tcPr>
            <w:tcW w:type="dxa" w:w="3557"/>
            <w:shd w:fill="FFFFFF" w:val="clear"/>
            <w:tcMar>
              <w:top w:type="dxa" w:w="60"/>
              <w:left w:type="dxa" w:w="100"/>
              <w:bottom w:type="dxa" w:w="60"/>
              <w:right w:type="dxa" w:w="100"/>
            </w:tcMar>
            <w:vAlign w:val="center"/>
          </w:tcPr>
          <w:p>
            <w:r>
              <w:rPr>
                <w:sz w:val="20"/>
                <w:szCs w:val="20"/>
              </w:rPr>
              <w:t xml:space="preserve">Buckets arrival_delay into On Time/Early, Minor, Moderate, and Severe.</w:t>
            </w:r>
          </w:p>
        </w:tc>
        <w:tc>
          <w:tcPr>
            <w:tcW w:type="dxa" w:w="3744"/>
            <w:shd w:fill="FFFFFF" w:val="clear"/>
            <w:tcMar>
              <w:top w:type="dxa" w:w="60"/>
              <w:left w:type="dxa" w:w="100"/>
              <w:bottom w:type="dxa" w:w="60"/>
              <w:right w:type="dxa" w:w="100"/>
            </w:tcMar>
            <w:vAlign w:val="center"/>
          </w:tcPr>
          <w:p>
            <w:r>
              <w:rPr>
                <w:sz w:val="20"/>
                <w:szCs w:val="20"/>
              </w:rPr>
              <w:t xml:space="preserve">Gives operations teams a plain-language label for reporting instead of a raw minute figure.</w:t>
            </w:r>
          </w:p>
        </w:tc>
      </w:tr>
      <w:tr>
        <w:tc>
          <w:tcPr>
            <w:tcW w:type="dxa" w:w="2059"/>
            <w:shd w:fill="F2F6FB" w:val="clear"/>
            <w:tcMar>
              <w:top w:type="dxa" w:w="60"/>
              <w:left w:type="dxa" w:w="100"/>
              <w:bottom w:type="dxa" w:w="60"/>
              <w:right w:type="dxa" w:w="100"/>
            </w:tcMar>
            <w:vAlign w:val="center"/>
          </w:tcPr>
          <w:p>
            <w:r>
              <w:rPr>
                <w:sz w:val="20"/>
                <w:szCs w:val="20"/>
              </w:rPr>
              <w:t xml:space="preserve">delay_severity</w:t>
            </w:r>
          </w:p>
        </w:tc>
        <w:tc>
          <w:tcPr>
            <w:tcW w:type="dxa" w:w="3557"/>
            <w:shd w:fill="F2F6FB" w:val="clear"/>
            <w:tcMar>
              <w:top w:type="dxa" w:w="60"/>
              <w:left w:type="dxa" w:w="100"/>
              <w:bottom w:type="dxa" w:w="60"/>
              <w:right w:type="dxa" w:w="100"/>
            </w:tcMar>
            <w:vAlign w:val="center"/>
          </w:tcPr>
          <w:p>
            <w:r>
              <w:rPr>
                <w:sz w:val="20"/>
                <w:szCs w:val="20"/>
              </w:rPr>
              <w:t xml:space="preserve">Numeric version of delay_category (0-3).</w:t>
            </w:r>
          </w:p>
        </w:tc>
        <w:tc>
          <w:tcPr>
            <w:tcW w:type="dxa" w:w="3744"/>
            <w:shd w:fill="F2F6FB" w:val="clear"/>
            <w:tcMar>
              <w:top w:type="dxa" w:w="60"/>
              <w:left w:type="dxa" w:w="100"/>
              <w:bottom w:type="dxa" w:w="60"/>
              <w:right w:type="dxa" w:w="100"/>
            </w:tcMar>
            <w:vAlign w:val="center"/>
          </w:tcPr>
          <w:p>
            <w:r>
              <w:rPr>
                <w:sz w:val="20"/>
                <w:szCs w:val="20"/>
              </w:rPr>
              <w:t xml:space="preserve">Makes the category usable in aggregation and correlation, since text labels cannot be averaged.</w:t>
            </w:r>
          </w:p>
        </w:tc>
      </w:tr>
      <w:tr>
        <w:tc>
          <w:tcPr>
            <w:tcW w:type="dxa" w:w="2059"/>
            <w:shd w:fill="FFFFFF" w:val="clear"/>
            <w:tcMar>
              <w:top w:type="dxa" w:w="60"/>
              <w:left w:type="dxa" w:w="100"/>
              <w:bottom w:type="dxa" w:w="60"/>
              <w:right w:type="dxa" w:w="100"/>
            </w:tcMar>
            <w:vAlign w:val="center"/>
          </w:tcPr>
          <w:p>
            <w:r>
              <w:rPr>
                <w:sz w:val="20"/>
                <w:szCs w:val="20"/>
              </w:rPr>
              <w:t xml:space="preserve">distance_category</w:t>
            </w:r>
          </w:p>
        </w:tc>
        <w:tc>
          <w:tcPr>
            <w:tcW w:type="dxa" w:w="3557"/>
            <w:shd w:fill="FFFFFF" w:val="clear"/>
            <w:tcMar>
              <w:top w:type="dxa" w:w="60"/>
              <w:left w:type="dxa" w:w="100"/>
              <w:bottom w:type="dxa" w:w="60"/>
              <w:right w:type="dxa" w:w="100"/>
            </w:tcMar>
            <w:vAlign w:val="center"/>
          </w:tcPr>
          <w:p>
            <w:r>
              <w:rPr>
                <w:sz w:val="20"/>
                <w:szCs w:val="20"/>
              </w:rPr>
              <w:t xml:space="preserve">Buckets distance into Short/Medium/Long Haul.</w:t>
            </w:r>
          </w:p>
        </w:tc>
        <w:tc>
          <w:tcPr>
            <w:tcW w:type="dxa" w:w="3744"/>
            <w:shd w:fill="FFFFFF" w:val="clear"/>
            <w:tcMar>
              <w:top w:type="dxa" w:w="60"/>
              <w:left w:type="dxa" w:w="100"/>
              <w:bottom w:type="dxa" w:w="60"/>
              <w:right w:type="dxa" w:w="100"/>
            </w:tcMar>
            <w:vAlign w:val="center"/>
          </w:tcPr>
          <w:p>
            <w:r>
              <w:rPr>
                <w:sz w:val="20"/>
                <w:szCs w:val="20"/>
              </w:rPr>
              <w:t xml:space="preserve">Lets route-length effects on delay be compared by group, confirming or ruling out distance as a cause.</w:t>
            </w:r>
          </w:p>
        </w:tc>
      </w:tr>
      <w:tr>
        <w:tc>
          <w:tcPr>
            <w:tcW w:type="dxa" w:w="2059"/>
            <w:shd w:fill="F2F6FB" w:val="clear"/>
            <w:tcMar>
              <w:top w:type="dxa" w:w="60"/>
              <w:left w:type="dxa" w:w="100"/>
              <w:bottom w:type="dxa" w:w="60"/>
              <w:right w:type="dxa" w:w="100"/>
            </w:tcMar>
            <w:vAlign w:val="center"/>
          </w:tcPr>
          <w:p>
            <w:r>
              <w:rPr>
                <w:sz w:val="20"/>
                <w:szCs w:val="20"/>
              </w:rPr>
              <w:t xml:space="preserve">peak_hour_flag</w:t>
            </w:r>
          </w:p>
        </w:tc>
        <w:tc>
          <w:tcPr>
            <w:tcW w:type="dxa" w:w="3557"/>
            <w:shd w:fill="F2F6FB" w:val="clear"/>
            <w:tcMar>
              <w:top w:type="dxa" w:w="60"/>
              <w:left w:type="dxa" w:w="100"/>
              <w:bottom w:type="dxa" w:w="60"/>
              <w:right w:type="dxa" w:w="100"/>
            </w:tcMar>
            <w:vAlign w:val="center"/>
          </w:tcPr>
          <w:p>
            <w:r>
              <w:rPr>
                <w:sz w:val="20"/>
                <w:szCs w:val="20"/>
              </w:rPr>
              <w:t xml:space="preserve">Flags flights scheduled at 6-9 AM or 4-7 PM.</w:t>
            </w:r>
          </w:p>
        </w:tc>
        <w:tc>
          <w:tcPr>
            <w:tcW w:type="dxa" w:w="3744"/>
            <w:shd w:fill="F2F6FB" w:val="clear"/>
            <w:tcMar>
              <w:top w:type="dxa" w:w="60"/>
              <w:left w:type="dxa" w:w="100"/>
              <w:bottom w:type="dxa" w:w="60"/>
              <w:right w:type="dxa" w:w="100"/>
            </w:tcMar>
            <w:vAlign w:val="center"/>
          </w:tcPr>
          <w:p>
            <w:r>
              <w:rPr>
                <w:sz w:val="20"/>
                <w:szCs w:val="20"/>
              </w:rPr>
              <w:t xml:space="preserve">Separates congestion-driven delay from delay that occurs regardless of time of day.</w:t>
            </w:r>
          </w:p>
        </w:tc>
      </w:tr>
      <w:tr>
        <w:tc>
          <w:tcPr>
            <w:tcW w:type="dxa" w:w="2059"/>
            <w:shd w:fill="FFFFFF" w:val="clear"/>
            <w:tcMar>
              <w:top w:type="dxa" w:w="60"/>
              <w:left w:type="dxa" w:w="100"/>
              <w:bottom w:type="dxa" w:w="60"/>
              <w:right w:type="dxa" w:w="100"/>
            </w:tcMar>
            <w:vAlign w:val="center"/>
          </w:tcPr>
          <w:p>
            <w:r>
              <w:rPr>
                <w:sz w:val="20"/>
                <w:szCs w:val="20"/>
              </w:rPr>
              <w:t xml:space="preserve">weekend_flag</w:t>
            </w:r>
          </w:p>
        </w:tc>
        <w:tc>
          <w:tcPr>
            <w:tcW w:type="dxa" w:w="3557"/>
            <w:shd w:fill="FFFFFF" w:val="clear"/>
            <w:tcMar>
              <w:top w:type="dxa" w:w="60"/>
              <w:left w:type="dxa" w:w="100"/>
              <w:bottom w:type="dxa" w:w="60"/>
              <w:right w:type="dxa" w:w="100"/>
            </w:tcMar>
            <w:vAlign w:val="center"/>
          </w:tcPr>
          <w:p>
            <w:r>
              <w:rPr>
                <w:sz w:val="20"/>
                <w:szCs w:val="20"/>
              </w:rPr>
              <w:t xml:space="preserve">Flags flights on Saturday or Sunday.</w:t>
            </w:r>
          </w:p>
        </w:tc>
        <w:tc>
          <w:tcPr>
            <w:tcW w:type="dxa" w:w="3744"/>
            <w:shd w:fill="FFFFFF" w:val="clear"/>
            <w:tcMar>
              <w:top w:type="dxa" w:w="60"/>
              <w:left w:type="dxa" w:w="100"/>
              <w:bottom w:type="dxa" w:w="60"/>
              <w:right w:type="dxa" w:w="100"/>
            </w:tcMar>
            <w:vAlign w:val="center"/>
          </w:tcPr>
          <w:p>
            <w:r>
              <w:rPr>
                <w:sz w:val="20"/>
                <w:szCs w:val="20"/>
              </w:rPr>
              <w:t xml:space="preserve">Tests whether the weekday delay pattern found in Sprint 2 (Monday/Thursday higher) holds as a simple weekday-vs-weekend split.</w:t>
            </w:r>
          </w:p>
        </w:tc>
      </w:tr>
      <w:tr>
        <w:tc>
          <w:tcPr>
            <w:tcW w:type="dxa" w:w="2059"/>
            <w:shd w:fill="F2F6FB" w:val="clear"/>
            <w:tcMar>
              <w:top w:type="dxa" w:w="60"/>
              <w:left w:type="dxa" w:w="100"/>
              <w:bottom w:type="dxa" w:w="60"/>
              <w:right w:type="dxa" w:w="100"/>
            </w:tcMar>
            <w:vAlign w:val="center"/>
          </w:tcPr>
          <w:p>
            <w:r>
              <w:rPr>
                <w:sz w:val="20"/>
                <w:szCs w:val="20"/>
              </w:rPr>
              <w:t xml:space="preserve">busy_airport_flag</w:t>
            </w:r>
          </w:p>
        </w:tc>
        <w:tc>
          <w:tcPr>
            <w:tcW w:type="dxa" w:w="3557"/>
            <w:shd w:fill="F2F6FB" w:val="clear"/>
            <w:tcMar>
              <w:top w:type="dxa" w:w="60"/>
              <w:left w:type="dxa" w:w="100"/>
              <w:bottom w:type="dxa" w:w="60"/>
              <w:right w:type="dxa" w:w="100"/>
            </w:tcMar>
            <w:vAlign w:val="center"/>
          </w:tcPr>
          <w:p>
            <w:r>
              <w:rPr>
                <w:sz w:val="20"/>
                <w:szCs w:val="20"/>
              </w:rPr>
              <w:t xml:space="preserve">Flags flights departing from the 10 busiest origin airports by volume.</w:t>
            </w:r>
          </w:p>
        </w:tc>
        <w:tc>
          <w:tcPr>
            <w:tcW w:type="dxa" w:w="3744"/>
            <w:shd w:fill="F2F6FB" w:val="clear"/>
            <w:tcMar>
              <w:top w:type="dxa" w:w="60"/>
              <w:left w:type="dxa" w:w="100"/>
              <w:bottom w:type="dxa" w:w="60"/>
              <w:right w:type="dxa" w:w="100"/>
            </w:tcMar>
            <w:vAlign w:val="center"/>
          </w:tcPr>
          <w:p>
            <w:r>
              <w:rPr>
                <w:sz w:val="20"/>
                <w:szCs w:val="20"/>
              </w:rPr>
              <w:t xml:space="preserve">Tests whether high-traffic hubs carry a distinct delay penalty versus smaller airports.</w:t>
            </w:r>
          </w:p>
        </w:tc>
      </w:tr>
      <w:tr>
        <w:tc>
          <w:tcPr>
            <w:tcW w:type="dxa" w:w="2059"/>
            <w:shd w:fill="FFFFFF" w:val="clear"/>
            <w:tcMar>
              <w:top w:type="dxa" w:w="60"/>
              <w:left w:type="dxa" w:w="100"/>
              <w:bottom w:type="dxa" w:w="60"/>
              <w:right w:type="dxa" w:w="100"/>
            </w:tcMar>
            <w:vAlign w:val="center"/>
          </w:tcPr>
          <w:p>
            <w:r>
              <w:rPr>
                <w:sz w:val="20"/>
                <w:szCs w:val="20"/>
              </w:rPr>
              <w:t xml:space="preserve">airline_performance_score</w:t>
            </w:r>
          </w:p>
        </w:tc>
        <w:tc>
          <w:tcPr>
            <w:tcW w:type="dxa" w:w="3557"/>
            <w:shd w:fill="FFFFFF" w:val="clear"/>
            <w:tcMar>
              <w:top w:type="dxa" w:w="60"/>
              <w:left w:type="dxa" w:w="100"/>
              <w:bottom w:type="dxa" w:w="60"/>
              <w:right w:type="dxa" w:w="100"/>
            </w:tcMar>
            <w:vAlign w:val="center"/>
          </w:tcPr>
          <w:p>
            <w:r>
              <w:rPr>
                <w:sz w:val="20"/>
                <w:szCs w:val="20"/>
              </w:rPr>
              <w:t xml:space="preserve">0-100 composite score combining normalised average delay (70% weight) and cancellation rate (30% weight) per airline.</w:t>
            </w:r>
          </w:p>
        </w:tc>
        <w:tc>
          <w:tcPr>
            <w:tcW w:type="dxa" w:w="3744"/>
            <w:shd w:fill="FFFFFF" w:val="clear"/>
            <w:tcMar>
              <w:top w:type="dxa" w:w="60"/>
              <w:left w:type="dxa" w:w="100"/>
              <w:bottom w:type="dxa" w:w="60"/>
              <w:right w:type="dxa" w:w="100"/>
            </w:tcMar>
            <w:vAlign w:val="center"/>
          </w:tcPr>
          <w:p>
            <w:r>
              <w:rPr>
                <w:sz w:val="20"/>
                <w:szCs w:val="20"/>
              </w:rPr>
              <w:t xml:space="preserve">Gives a single ranking metric for airline benchmarking instead of comparing two separate figures every time.</w:t>
            </w:r>
          </w:p>
        </w:tc>
      </w:tr>
      <w:tr>
        <w:tc>
          <w:tcPr>
            <w:tcW w:type="dxa" w:w="2059"/>
            <w:shd w:fill="F2F6FB" w:val="clear"/>
            <w:tcMar>
              <w:top w:type="dxa" w:w="60"/>
              <w:left w:type="dxa" w:w="100"/>
              <w:bottom w:type="dxa" w:w="60"/>
              <w:right w:type="dxa" w:w="100"/>
            </w:tcMar>
            <w:vAlign w:val="center"/>
          </w:tcPr>
          <w:p>
            <w:r>
              <w:rPr>
                <w:sz w:val="20"/>
                <w:szCs w:val="20"/>
              </w:rPr>
              <w:t xml:space="preserve">delay_risk_category</w:t>
            </w:r>
          </w:p>
        </w:tc>
        <w:tc>
          <w:tcPr>
            <w:tcW w:type="dxa" w:w="3557"/>
            <w:shd w:fill="F2F6FB" w:val="clear"/>
            <w:tcMar>
              <w:top w:type="dxa" w:w="60"/>
              <w:left w:type="dxa" w:w="100"/>
              <w:bottom w:type="dxa" w:w="60"/>
              <w:right w:type="dxa" w:w="100"/>
            </w:tcMar>
            <w:vAlign w:val="center"/>
          </w:tcPr>
          <w:p>
            <w:r>
              <w:rPr>
                <w:sz w:val="20"/>
                <w:szCs w:val="20"/>
              </w:rPr>
              <w:t xml:space="preserve">Combines delay_severity, peak_hour_flag, and busy_airport_flag into Low/Moderate/High/Very High Risk.</w:t>
            </w:r>
          </w:p>
        </w:tc>
        <w:tc>
          <w:tcPr>
            <w:tcW w:type="dxa" w:w="3744"/>
            <w:shd w:fill="F2F6FB" w:val="clear"/>
            <w:tcMar>
              <w:top w:type="dxa" w:w="60"/>
              <w:left w:type="dxa" w:w="100"/>
              <w:bottom w:type="dxa" w:w="60"/>
              <w:right w:type="dxa" w:w="100"/>
            </w:tcMar>
            <w:vAlign w:val="center"/>
          </w:tcPr>
          <w:p>
            <w:r>
              <w:rPr>
                <w:sz w:val="20"/>
                <w:szCs w:val="20"/>
              </w:rPr>
              <w:t xml:space="preserve">A single, pre-departure indicator that flags flights likely to run into a compounding delay situation.</w:t>
            </w:r>
          </w:p>
        </w:tc>
      </w:tr>
    </w:tbl>
    <w:p>
      <w:pPr>
        <w:spacing w:after="80"/>
      </w:pPr>
    </w:p>
    <w:p>
      <w:pPr>
        <w:pStyle w:val="Heading2"/>
        <w:spacing w:after="120" w:before="280"/>
      </w:pPr>
      <w:r>
        <w:t xml:space="preserve">How Each Feature Was Derived</w:t>
      </w:r>
    </w:p>
    <w:p>
      <w:pPr>
        <w:spacing w:after="160"/>
      </w:pPr>
      <w:r>
        <w:t xml:space="preserve">delay_category and delay_severity split arrival_delay at business-relevant thresholds — 0, 15, and 60 minutes — because 15 minutes is the standard on-time-performance threshold used in aviation reporting (matching the BTS convention referenced in the Sprint 2 documentation), and 60 minutes marks the point where a delay is severe enough to routinely trigger passenger compensation policies.</w:t>
      </w:r>
    </w:p>
    <w:p>
      <w:pPr>
        <w:spacing w:after="160"/>
      </w:pPr>
      <w:r>
        <w:t xml:space="preserve">peak_hour_flag required extracting the scheduled hour from the scheduled_departure time column and checking it against a fixed set of peak hours (6-9 AM and 4-7 PM), based on general commercial travel demand patterns. Flights inside these windows have a materially lower average arrival delay (3.46 minutes) than flights outside them (4.54 minutes) in this dataset — a smaller but still measurable gap that is examined further in the Feature Evaluation section below.</w:t>
      </w:r>
    </w:p>
    <w:p>
      <w:pPr>
        <w:spacing w:after="160"/>
      </w:pPr>
      <w:r>
        <w:t xml:space="preserve">airline_performance_score required first grouping by airline to get average delay and cancellation rate, then min-max normalising both onto a 0-1 scale so they could be combined despite being on different original scales (minutes vs. a percentage). Delay was weighted more heavily (70%) than cancellation rate (30%) in the final score because delay affects a much larger share of passengers per incident than a cancellation does, even though cancellations are more severe for the individual passengers affected.</w:t>
      </w:r>
    </w:p>
    <w:p>
      <w:pPr>
        <w:spacing w:after="160"/>
      </w:pPr>
      <w:r>
        <w:t xml:space="preserve">delay_risk_category deliberately combines three already-engineered signals — prior severity pattern, peak-hour timing, and airport congestion — into a single label, because no one signal on its own fully explains delay risk; the value of this feature is specifically in the combination, which is tested directly in Feature Evaluation below.</w:t>
      </w:r>
    </w:p>
    <w:p>
      <w:pPr>
        <w:pStyle w:val="Heading1"/>
        <w:spacing w:after="160" w:before="360"/>
      </w:pPr>
      <w:r>
        <w:t xml:space="preserve">Feature Evaluation</w:t>
      </w:r>
    </w:p>
    <w:p>
      <w:pPr>
        <w:spacing w:after="160"/>
      </w:pPr>
      <w:r>
        <w:t xml:space="preserve">Each engineered feature was evaluated by checking whether it actually separates arrival_delay into meaningfully different groups — a feature that produces categories with nearly identical average delay adds complexity without adding value, so this step exists to filter out any feature that looks reasonable in theory but doesn't hold up against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3276"/>
        <w:gridCol w:w="2340"/>
      </w:tblGrid>
      <w:tr>
        <w:trPr>
          <w:tblHeader/>
        </w:trPr>
        <w:tc>
          <w:tcPr>
            <w:tcW w:type="dxa" w:w="3744"/>
            <w:shd w:fill="1F3864" w:val="clear"/>
            <w:tcMar>
              <w:top w:type="dxa" w:w="80"/>
              <w:left w:type="dxa" w:w="100"/>
              <w:bottom w:type="dxa" w:w="80"/>
              <w:right w:type="dxa" w:w="100"/>
            </w:tcMar>
            <w:vAlign w:val="center"/>
          </w:tcPr>
          <w:p>
            <w:r>
              <w:rPr>
                <w:b/>
                <w:bCs/>
                <w:color w:val="FFFFFF"/>
                <w:sz w:val="20"/>
                <w:szCs w:val="20"/>
              </w:rPr>
              <w:t xml:space="preserve">delay_risk_category</w:t>
            </w:r>
          </w:p>
        </w:tc>
        <w:tc>
          <w:tcPr>
            <w:tcW w:type="dxa" w:w="3276"/>
            <w:shd w:fill="1F3864" w:val="clear"/>
            <w:tcMar>
              <w:top w:type="dxa" w:w="80"/>
              <w:left w:type="dxa" w:w="100"/>
              <w:bottom w:type="dxa" w:w="80"/>
              <w:right w:type="dxa" w:w="100"/>
            </w:tcMar>
            <w:vAlign w:val="center"/>
          </w:tcPr>
          <w:p>
            <w:r>
              <w:rPr>
                <w:b/>
                <w:bCs/>
                <w:color w:val="FFFFFF"/>
                <w:sz w:val="20"/>
                <w:szCs w:val="20"/>
              </w:rPr>
              <w:t xml:space="preserve">Avg. Arrival Delay (min)</w:t>
            </w:r>
          </w:p>
        </w:tc>
        <w:tc>
          <w:tcPr>
            <w:tcW w:type="dxa" w:w="2340"/>
            <w:shd w:fill="1F3864" w:val="clear"/>
            <w:tcMar>
              <w:top w:type="dxa" w:w="80"/>
              <w:left w:type="dxa" w:w="100"/>
              <w:bottom w:type="dxa" w:w="80"/>
              <w:right w:type="dxa" w:w="100"/>
            </w:tcMar>
            <w:vAlign w:val="center"/>
          </w:tcPr>
          <w:p>
            <w:r>
              <w:rPr>
                <w:b/>
                <w:bCs/>
                <w:color w:val="FFFFFF"/>
                <w:sz w:val="20"/>
                <w:szCs w:val="20"/>
              </w:rPr>
              <w:t xml:space="preserve">Flight Count</w:t>
            </w:r>
          </w:p>
        </w:tc>
      </w:tr>
      <w:tr>
        <w:tc>
          <w:tcPr>
            <w:tcW w:type="dxa" w:w="3744"/>
            <w:shd w:fill="FFFFFF" w:val="clear"/>
            <w:tcMar>
              <w:top w:type="dxa" w:w="60"/>
              <w:left w:type="dxa" w:w="100"/>
              <w:bottom w:type="dxa" w:w="60"/>
              <w:right w:type="dxa" w:w="100"/>
            </w:tcMar>
            <w:vAlign w:val="center"/>
          </w:tcPr>
          <w:p>
            <w:r>
              <w:rPr>
                <w:sz w:val="20"/>
                <w:szCs w:val="20"/>
              </w:rPr>
              <w:t xml:space="preserve">Low Risk</w:t>
            </w:r>
          </w:p>
        </w:tc>
        <w:tc>
          <w:tcPr>
            <w:tcW w:type="dxa" w:w="3276"/>
            <w:shd w:fill="FFFFFF" w:val="clear"/>
            <w:tcMar>
              <w:top w:type="dxa" w:w="60"/>
              <w:left w:type="dxa" w:w="100"/>
              <w:bottom w:type="dxa" w:w="60"/>
              <w:right w:type="dxa" w:w="100"/>
            </w:tcMar>
            <w:vAlign w:val="center"/>
          </w:tcPr>
          <w:p>
            <w:r>
              <w:rPr>
                <w:sz w:val="20"/>
                <w:szCs w:val="20"/>
              </w:rPr>
              <w:t xml:space="preserve">-12.14</w:t>
            </w:r>
          </w:p>
        </w:tc>
        <w:tc>
          <w:tcPr>
            <w:tcW w:type="dxa" w:w="2340"/>
            <w:shd w:fill="FFFFFF" w:val="clear"/>
            <w:tcMar>
              <w:top w:type="dxa" w:w="60"/>
              <w:left w:type="dxa" w:w="100"/>
              <w:bottom w:type="dxa" w:w="60"/>
              <w:right w:type="dxa" w:w="100"/>
            </w:tcMar>
            <w:vAlign w:val="center"/>
          </w:tcPr>
          <w:p>
            <w:r>
              <w:rPr>
                <w:sz w:val="20"/>
                <w:szCs w:val="20"/>
              </w:rPr>
              <w:t xml:space="preserve">9,903</w:t>
            </w:r>
          </w:p>
        </w:tc>
      </w:tr>
      <w:tr>
        <w:tc>
          <w:tcPr>
            <w:tcW w:type="dxa" w:w="3744"/>
            <w:shd w:fill="F2F6FB" w:val="clear"/>
            <w:tcMar>
              <w:top w:type="dxa" w:w="60"/>
              <w:left w:type="dxa" w:w="100"/>
              <w:bottom w:type="dxa" w:w="60"/>
              <w:right w:type="dxa" w:w="100"/>
            </w:tcMar>
            <w:vAlign w:val="center"/>
          </w:tcPr>
          <w:p>
            <w:r>
              <w:rPr>
                <w:sz w:val="20"/>
                <w:szCs w:val="20"/>
              </w:rPr>
              <w:t xml:space="preserve">Moderate Risk</w:t>
            </w:r>
          </w:p>
        </w:tc>
        <w:tc>
          <w:tcPr>
            <w:tcW w:type="dxa" w:w="3276"/>
            <w:shd w:fill="F2F6FB" w:val="clear"/>
            <w:tcMar>
              <w:top w:type="dxa" w:w="60"/>
              <w:left w:type="dxa" w:w="100"/>
              <w:bottom w:type="dxa" w:w="60"/>
              <w:right w:type="dxa" w:w="100"/>
            </w:tcMar>
            <w:vAlign w:val="center"/>
          </w:tcPr>
          <w:p>
            <w:r>
              <w:rPr>
                <w:sz w:val="20"/>
                <w:szCs w:val="20"/>
              </w:rPr>
              <w:t xml:space="preserve">-9.51</w:t>
            </w:r>
          </w:p>
        </w:tc>
        <w:tc>
          <w:tcPr>
            <w:tcW w:type="dxa" w:w="2340"/>
            <w:shd w:fill="F2F6FB" w:val="clear"/>
            <w:tcMar>
              <w:top w:type="dxa" w:w="60"/>
              <w:left w:type="dxa" w:w="100"/>
              <w:bottom w:type="dxa" w:w="60"/>
              <w:right w:type="dxa" w:w="100"/>
            </w:tcMar>
            <w:vAlign w:val="center"/>
          </w:tcPr>
          <w:p>
            <w:r>
              <w:rPr>
                <w:sz w:val="20"/>
                <w:szCs w:val="20"/>
              </w:rPr>
              <w:t xml:space="preserve">19,435</w:t>
            </w:r>
          </w:p>
        </w:tc>
      </w:tr>
      <w:tr>
        <w:tc>
          <w:tcPr>
            <w:tcW w:type="dxa" w:w="3744"/>
            <w:shd w:fill="FFFFFF" w:val="clear"/>
            <w:tcMar>
              <w:top w:type="dxa" w:w="60"/>
              <w:left w:type="dxa" w:w="100"/>
              <w:bottom w:type="dxa" w:w="60"/>
              <w:right w:type="dxa" w:w="100"/>
            </w:tcMar>
            <w:vAlign w:val="center"/>
          </w:tcPr>
          <w:p>
            <w:r>
              <w:rPr>
                <w:sz w:val="20"/>
                <w:szCs w:val="20"/>
              </w:rPr>
              <w:t xml:space="preserve">High Risk</w:t>
            </w:r>
          </w:p>
        </w:tc>
        <w:tc>
          <w:tcPr>
            <w:tcW w:type="dxa" w:w="3276"/>
            <w:shd w:fill="FFFFFF" w:val="clear"/>
            <w:tcMar>
              <w:top w:type="dxa" w:w="60"/>
              <w:left w:type="dxa" w:w="100"/>
              <w:bottom w:type="dxa" w:w="60"/>
              <w:right w:type="dxa" w:w="100"/>
            </w:tcMar>
            <w:vAlign w:val="center"/>
          </w:tcPr>
          <w:p>
            <w:r>
              <w:rPr>
                <w:sz w:val="20"/>
                <w:szCs w:val="20"/>
              </w:rPr>
              <w:t xml:space="preserve">3.22</w:t>
            </w:r>
          </w:p>
        </w:tc>
        <w:tc>
          <w:tcPr>
            <w:tcW w:type="dxa" w:w="2340"/>
            <w:shd w:fill="FFFFFF" w:val="clear"/>
            <w:tcMar>
              <w:top w:type="dxa" w:w="60"/>
              <w:left w:type="dxa" w:w="100"/>
              <w:bottom w:type="dxa" w:w="60"/>
              <w:right w:type="dxa" w:w="100"/>
            </w:tcMar>
            <w:vAlign w:val="center"/>
          </w:tcPr>
          <w:p>
            <w:r>
              <w:rPr>
                <w:sz w:val="20"/>
                <w:szCs w:val="20"/>
              </w:rPr>
              <w:t xml:space="preserve">11,570</w:t>
            </w:r>
          </w:p>
        </w:tc>
      </w:tr>
      <w:tr>
        <w:tc>
          <w:tcPr>
            <w:tcW w:type="dxa" w:w="3744"/>
            <w:shd w:fill="F2F6FB" w:val="clear"/>
            <w:tcMar>
              <w:top w:type="dxa" w:w="60"/>
              <w:left w:type="dxa" w:w="100"/>
              <w:bottom w:type="dxa" w:w="60"/>
              <w:right w:type="dxa" w:w="100"/>
            </w:tcMar>
            <w:vAlign w:val="center"/>
          </w:tcPr>
          <w:p>
            <w:r>
              <w:rPr>
                <w:sz w:val="20"/>
                <w:szCs w:val="20"/>
              </w:rPr>
              <w:t xml:space="preserve">Very High Risk</w:t>
            </w:r>
          </w:p>
        </w:tc>
        <w:tc>
          <w:tcPr>
            <w:tcW w:type="dxa" w:w="3276"/>
            <w:shd w:fill="F2F6FB" w:val="clear"/>
            <w:tcMar>
              <w:top w:type="dxa" w:w="60"/>
              <w:left w:type="dxa" w:w="100"/>
              <w:bottom w:type="dxa" w:w="60"/>
              <w:right w:type="dxa" w:w="100"/>
            </w:tcMar>
            <w:vAlign w:val="center"/>
          </w:tcPr>
          <w:p>
            <w:r>
              <w:rPr>
                <w:sz w:val="20"/>
                <w:szCs w:val="20"/>
              </w:rPr>
              <w:t xml:space="preserve">56.76</w:t>
            </w:r>
          </w:p>
        </w:tc>
        <w:tc>
          <w:tcPr>
            <w:tcW w:type="dxa" w:w="2340"/>
            <w:shd w:fill="F2F6FB" w:val="clear"/>
            <w:tcMar>
              <w:top w:type="dxa" w:w="60"/>
              <w:left w:type="dxa" w:w="100"/>
              <w:bottom w:type="dxa" w:w="60"/>
              <w:right w:type="dxa" w:w="100"/>
            </w:tcMar>
            <w:vAlign w:val="center"/>
          </w:tcPr>
          <w:p>
            <w:r>
              <w:rPr>
                <w:sz w:val="20"/>
                <w:szCs w:val="20"/>
              </w:rPr>
              <w:t xml:space="preserve">8,177</w:t>
            </w:r>
          </w:p>
        </w:tc>
      </w:tr>
    </w:tbl>
    <w:p>
      <w:pPr>
        <w:spacing w:after="80"/>
      </w:pPr>
    </w:p>
    <w:p>
      <w:pPr>
        <w:spacing w:after="160"/>
      </w:pPr>
      <w:r>
        <w:t xml:space="preserve">delay_risk_category passes this test clearly: average arrival delay climbs from about -12 minutes for Low Risk flights to nearly 57 minutes for Very High Risk flights, a gap of almost 70 minutes across the four categories. This is strong evidence the combined feature captures a real, usable signal rather than an arbitrary split, and is the feature most directly usable for pre-departure operational flagging.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3276"/>
        <w:gridCol w:w="2340"/>
      </w:tblGrid>
      <w:tr>
        <w:trPr>
          <w:tblHeader/>
        </w:trPr>
        <w:tc>
          <w:tcPr>
            <w:tcW w:type="dxa" w:w="3744"/>
            <w:shd w:fill="1F3864" w:val="clear"/>
            <w:tcMar>
              <w:top w:type="dxa" w:w="80"/>
              <w:left w:type="dxa" w:w="100"/>
              <w:bottom w:type="dxa" w:w="80"/>
              <w:right w:type="dxa" w:w="100"/>
            </w:tcMar>
            <w:vAlign w:val="center"/>
          </w:tcPr>
          <w:p>
            <w:r>
              <w:rPr>
                <w:b/>
                <w:bCs/>
                <w:color w:val="FFFFFF"/>
                <w:sz w:val="20"/>
                <w:szCs w:val="20"/>
              </w:rPr>
              <w:t xml:space="preserve">distance_category</w:t>
            </w:r>
          </w:p>
        </w:tc>
        <w:tc>
          <w:tcPr>
            <w:tcW w:type="dxa" w:w="3276"/>
            <w:shd w:fill="1F3864" w:val="clear"/>
            <w:tcMar>
              <w:top w:type="dxa" w:w="80"/>
              <w:left w:type="dxa" w:w="100"/>
              <w:bottom w:type="dxa" w:w="80"/>
              <w:right w:type="dxa" w:w="100"/>
            </w:tcMar>
            <w:vAlign w:val="center"/>
          </w:tcPr>
          <w:p>
            <w:r>
              <w:rPr>
                <w:b/>
                <w:bCs/>
                <w:color w:val="FFFFFF"/>
                <w:sz w:val="20"/>
                <w:szCs w:val="20"/>
              </w:rPr>
              <w:t xml:space="preserve">Avg. Arrival Delay (min)</w:t>
            </w:r>
          </w:p>
        </w:tc>
        <w:tc>
          <w:tcPr>
            <w:tcW w:type="dxa" w:w="2340"/>
            <w:shd w:fill="1F3864" w:val="clear"/>
            <w:tcMar>
              <w:top w:type="dxa" w:w="80"/>
              <w:left w:type="dxa" w:w="100"/>
              <w:bottom w:type="dxa" w:w="80"/>
              <w:right w:type="dxa" w:w="100"/>
            </w:tcMar>
            <w:vAlign w:val="center"/>
          </w:tcPr>
          <w:p>
            <w:r>
              <w:rPr>
                <w:b/>
                <w:bCs/>
                <w:color w:val="FFFFFF"/>
                <w:sz w:val="20"/>
                <w:szCs w:val="20"/>
              </w:rPr>
              <w:t xml:space="preserve">Flight Count</w:t>
            </w:r>
          </w:p>
        </w:tc>
      </w:tr>
      <w:tr>
        <w:tc>
          <w:tcPr>
            <w:tcW w:type="dxa" w:w="3744"/>
            <w:shd w:fill="FFFFFF" w:val="clear"/>
            <w:tcMar>
              <w:top w:type="dxa" w:w="60"/>
              <w:left w:type="dxa" w:w="100"/>
              <w:bottom w:type="dxa" w:w="60"/>
              <w:right w:type="dxa" w:w="100"/>
            </w:tcMar>
            <w:vAlign w:val="center"/>
          </w:tcPr>
          <w:p>
            <w:r>
              <w:rPr>
                <w:sz w:val="20"/>
                <w:szCs w:val="20"/>
              </w:rPr>
              <w:t xml:space="preserve">Short Haul</w:t>
            </w:r>
          </w:p>
        </w:tc>
        <w:tc>
          <w:tcPr>
            <w:tcW w:type="dxa" w:w="3276"/>
            <w:shd w:fill="FFFFFF" w:val="clear"/>
            <w:tcMar>
              <w:top w:type="dxa" w:w="60"/>
              <w:left w:type="dxa" w:w="100"/>
              <w:bottom w:type="dxa" w:w="60"/>
              <w:right w:type="dxa" w:w="100"/>
            </w:tcMar>
            <w:vAlign w:val="center"/>
          </w:tcPr>
          <w:p>
            <w:r>
              <w:rPr>
                <w:sz w:val="20"/>
                <w:szCs w:val="20"/>
              </w:rPr>
              <w:t xml:space="preserve">4.87</w:t>
            </w:r>
          </w:p>
        </w:tc>
        <w:tc>
          <w:tcPr>
            <w:tcW w:type="dxa" w:w="2340"/>
            <w:shd w:fill="FFFFFF" w:val="clear"/>
            <w:tcMar>
              <w:top w:type="dxa" w:w="60"/>
              <w:left w:type="dxa" w:w="100"/>
              <w:bottom w:type="dxa" w:w="60"/>
              <w:right w:type="dxa" w:w="100"/>
            </w:tcMar>
            <w:vAlign w:val="center"/>
          </w:tcPr>
          <w:p>
            <w:r>
              <w:rPr>
                <w:sz w:val="20"/>
                <w:szCs w:val="20"/>
              </w:rPr>
              <w:t xml:space="preserve">17,803</w:t>
            </w:r>
          </w:p>
        </w:tc>
      </w:tr>
      <w:tr>
        <w:tc>
          <w:tcPr>
            <w:tcW w:type="dxa" w:w="3744"/>
            <w:shd w:fill="F2F6FB" w:val="clear"/>
            <w:tcMar>
              <w:top w:type="dxa" w:w="60"/>
              <w:left w:type="dxa" w:w="100"/>
              <w:bottom w:type="dxa" w:w="60"/>
              <w:right w:type="dxa" w:w="100"/>
            </w:tcMar>
            <w:vAlign w:val="center"/>
          </w:tcPr>
          <w:p>
            <w:r>
              <w:rPr>
                <w:sz w:val="20"/>
                <w:szCs w:val="20"/>
              </w:rPr>
              <w:t xml:space="preserve">Medium Haul</w:t>
            </w:r>
          </w:p>
        </w:tc>
        <w:tc>
          <w:tcPr>
            <w:tcW w:type="dxa" w:w="3276"/>
            <w:shd w:fill="F2F6FB" w:val="clear"/>
            <w:tcMar>
              <w:top w:type="dxa" w:w="60"/>
              <w:left w:type="dxa" w:w="100"/>
              <w:bottom w:type="dxa" w:w="60"/>
              <w:right w:type="dxa" w:w="100"/>
            </w:tcMar>
            <w:vAlign w:val="center"/>
          </w:tcPr>
          <w:p>
            <w:r>
              <w:rPr>
                <w:sz w:val="20"/>
                <w:szCs w:val="20"/>
              </w:rPr>
              <w:t xml:space="preserve">4.29</w:t>
            </w:r>
          </w:p>
        </w:tc>
        <w:tc>
          <w:tcPr>
            <w:tcW w:type="dxa" w:w="2340"/>
            <w:shd w:fill="F2F6FB" w:val="clear"/>
            <w:tcMar>
              <w:top w:type="dxa" w:w="60"/>
              <w:left w:type="dxa" w:w="100"/>
              <w:bottom w:type="dxa" w:w="60"/>
              <w:right w:type="dxa" w:w="100"/>
            </w:tcMar>
            <w:vAlign w:val="center"/>
          </w:tcPr>
          <w:p>
            <w:r>
              <w:rPr>
                <w:sz w:val="20"/>
                <w:szCs w:val="20"/>
              </w:rPr>
              <w:t xml:space="preserve">24,519</w:t>
            </w:r>
          </w:p>
        </w:tc>
      </w:tr>
      <w:tr>
        <w:tc>
          <w:tcPr>
            <w:tcW w:type="dxa" w:w="3744"/>
            <w:shd w:fill="FFFFFF" w:val="clear"/>
            <w:tcMar>
              <w:top w:type="dxa" w:w="60"/>
              <w:left w:type="dxa" w:w="100"/>
              <w:bottom w:type="dxa" w:w="60"/>
              <w:right w:type="dxa" w:w="100"/>
            </w:tcMar>
            <w:vAlign w:val="center"/>
          </w:tcPr>
          <w:p>
            <w:r>
              <w:rPr>
                <w:sz w:val="20"/>
                <w:szCs w:val="20"/>
              </w:rPr>
              <w:t xml:space="preserve">Long Haul</w:t>
            </w:r>
          </w:p>
        </w:tc>
        <w:tc>
          <w:tcPr>
            <w:tcW w:type="dxa" w:w="3276"/>
            <w:shd w:fill="FFFFFF" w:val="clear"/>
            <w:tcMar>
              <w:top w:type="dxa" w:w="60"/>
              <w:left w:type="dxa" w:w="100"/>
              <w:bottom w:type="dxa" w:w="60"/>
              <w:right w:type="dxa" w:w="100"/>
            </w:tcMar>
            <w:vAlign w:val="center"/>
          </w:tcPr>
          <w:p>
            <w:r>
              <w:rPr>
                <w:sz w:val="20"/>
                <w:szCs w:val="20"/>
              </w:rPr>
              <w:t xml:space="preserve">0.67</w:t>
            </w:r>
          </w:p>
        </w:tc>
        <w:tc>
          <w:tcPr>
            <w:tcW w:type="dxa" w:w="2340"/>
            <w:shd w:fill="FFFFFF" w:val="clear"/>
            <w:tcMar>
              <w:top w:type="dxa" w:w="60"/>
              <w:left w:type="dxa" w:w="100"/>
              <w:bottom w:type="dxa" w:w="60"/>
              <w:right w:type="dxa" w:w="100"/>
            </w:tcMar>
            <w:vAlign w:val="center"/>
          </w:tcPr>
          <w:p>
            <w:r>
              <w:rPr>
                <w:sz w:val="20"/>
                <w:szCs w:val="20"/>
              </w:rPr>
              <w:t xml:space="preserve">6,825</w:t>
            </w:r>
          </w:p>
        </w:tc>
      </w:tr>
    </w:tbl>
    <w:p>
      <w:pPr>
        <w:spacing w:after="80"/>
      </w:pPr>
    </w:p>
    <w:p>
      <w:pPr>
        <w:spacing w:after="160"/>
      </w:pPr>
      <w:r>
        <w:t xml:space="preserve">distance_category, by contrast, shows only a small difference between groups (roughly a 4-minute spread, versus the 70-minute spread for delay_risk_category), which is consistent with the near-zero correlation between distance and arrival_delay established earlier in this sprint and in Sprint 2. This feature is kept in the final dataset because it is still useful for describing route mix and reporting, but it is explicitly not treated as a meaningful predictor of delay risk on its own.</w:t>
      </w:r>
    </w:p>
    <w:p>
      <w:pPr>
        <w:spacing w:after="160"/>
      </w:pPr>
      <w:r>
        <w:t xml:space="preserve">peak_hour_flag and weekend_flag both showed real but modest gaps (roughly 1.1 minutes and 2.0 minutes respectively) — enough to justify inclusion as contributing signals inside delay_risk_category, but not strong enough to act as standalone risk indicators, which is why they were folded into the combined feature rather than used individually for flagging.</w:t>
      </w:r>
    </w:p>
    <w:p>
      <w:pPr>
        <w:pStyle w:val="Heading1"/>
        <w:spacing w:after="160" w:before="360"/>
      </w:pPr>
      <w:r>
        <w:t xml:space="preserve">Final Business Recommendations</w:t>
      </w:r>
    </w:p>
    <w:p>
      <w:pPr>
        <w:pStyle w:val="Heading2"/>
        <w:spacing w:after="120" w:before="280"/>
      </w:pPr>
      <w:r>
        <w:t xml:space="preserve">On-Time Performance</w:t>
      </w:r>
    </w:p>
    <w:p>
      <w:pPr>
        <w:pStyle w:val="ListParagraph"/>
        <w:numPr>
          <w:ilvl w:val="0"/>
          <w:numId w:val="1"/>
        </w:numPr>
        <w:spacing w:after="100"/>
      </w:pPr>
      <w:r>
        <w:t xml:space="preserve">WN's higher average arrival delay compared to DL is statistically confirmed (t-test, p &lt; 0.001) — prioritize WN for a targeted on-time performance review rather than treating the Sprint 2 gap as noise.</w:t>
      </w:r>
    </w:p>
    <w:p>
      <w:pPr>
        <w:pStyle w:val="ListParagraph"/>
        <w:numPr>
          <w:ilvl w:val="0"/>
          <w:numId w:val="1"/>
        </w:numPr>
        <w:spacing w:after="100"/>
      </w:pPr>
      <w:r>
        <w:t xml:space="preserve">Because departure_delay correlates with arrival_delay at r = 0.94, any operational investment aimed at improving arrival punctuality should start with on-time departure initiatives, which this sprint's statistical work confirms as the highest-leverage single fix available.</w:t>
      </w:r>
    </w:p>
    <w:p>
      <w:pPr>
        <w:pStyle w:val="Heading2"/>
        <w:spacing w:after="120" w:before="280"/>
      </w:pPr>
      <w:r>
        <w:t xml:space="preserve">Cancellation Reduction</w:t>
      </w:r>
    </w:p>
    <w:p>
      <w:pPr>
        <w:pStyle w:val="ListParagraph"/>
        <w:numPr>
          <w:ilvl w:val="0"/>
          <w:numId w:val="1"/>
        </w:numPr>
        <w:spacing w:after="100"/>
      </w:pPr>
      <w:r>
        <w:t xml:space="preserve">The chi-square test confirms cancellation rate genuinely depends on the airline (p &lt; 0.001) — MQ and EV should receive cancellation-specific root cause reviews, separate from general delay reviews, since their cancellation issue is statistically distinct from their delay performance.</w:t>
      </w:r>
    </w:p>
    <w:p>
      <w:pPr>
        <w:pStyle w:val="Heading2"/>
        <w:spacing w:after="120" w:before="280"/>
      </w:pPr>
      <w:r>
        <w:t xml:space="preserve">Scheduling &amp; Seasonal Planning</w:t>
      </w:r>
    </w:p>
    <w:p>
      <w:pPr>
        <w:pStyle w:val="ListParagraph"/>
        <w:numPr>
          <w:ilvl w:val="0"/>
          <w:numId w:val="1"/>
        </w:numPr>
        <w:spacing w:after="100"/>
      </w:pPr>
      <w:r>
        <w:t xml:space="preserve">ANOVA confirms arrival delay genuinely varies by month (p &lt; 0.001) — apply seasonal scheduling buffers (particularly around February) instead of a single flat buffer applied year-round.</w:t>
      </w:r>
    </w:p>
    <w:p>
      <w:pPr>
        <w:pStyle w:val="ListParagraph"/>
        <w:numPr>
          <w:ilvl w:val="0"/>
          <w:numId w:val="1"/>
        </w:numPr>
        <w:spacing w:after="100"/>
      </w:pPr>
      <w:r>
        <w:t xml:space="preserve">Because the 95% confidence interval for the network-wide mean arrival delay is narrow (3.67 to 4.33 minutes), this figure can be used as a stable baseline for annual planning, while still expecting far greater variability at the level of an individual flight or route.</w:t>
      </w:r>
    </w:p>
    <w:p>
      <w:pPr>
        <w:pStyle w:val="Heading2"/>
        <w:spacing w:after="120" w:before="280"/>
      </w:pPr>
      <w:r>
        <w:t xml:space="preserve">Operational Risk Flagging</w:t>
      </w:r>
    </w:p>
    <w:p>
      <w:pPr>
        <w:pStyle w:val="ListParagraph"/>
        <w:numPr>
          <w:ilvl w:val="0"/>
          <w:numId w:val="1"/>
        </w:numPr>
        <w:spacing w:after="100"/>
      </w:pPr>
      <w:r>
        <w:t xml:space="preserve">Adopt delay_risk_category as a pre-departure flag: Very High Risk flights average nearly 57 minutes of arrival delay versus roughly -12 minutes for Low Risk flights, making this the strongest engineered indicator in this sprint for prioritising ground crew and turnaround attention.</w:t>
      </w:r>
    </w:p>
    <w:p>
      <w:pPr>
        <w:pStyle w:val="ListParagraph"/>
        <w:numPr>
          <w:ilvl w:val="0"/>
          <w:numId w:val="1"/>
        </w:numPr>
        <w:spacing w:after="100"/>
      </w:pPr>
      <w:r>
        <w:t xml:space="preserve">Use airline_performance_score as a standing internal benchmarking metric across airlines or codeshare partners, since it combines both delay and cancellation performance into one comparable figure.</w:t>
      </w:r>
    </w:p>
    <w:p>
      <w:pPr>
        <w:pStyle w:val="Heading2"/>
        <w:spacing w:after="120" w:before="280"/>
      </w:pPr>
      <w:r>
        <w:t xml:space="preserve">Deprioritized Factors</w:t>
      </w:r>
    </w:p>
    <w:p>
      <w:pPr>
        <w:pStyle w:val="ListParagraph"/>
        <w:numPr>
          <w:ilvl w:val="0"/>
          <w:numId w:val="1"/>
        </w:numPr>
        <w:spacing w:after="100"/>
      </w:pPr>
      <w:r>
        <w:t xml:space="preserve">Flight distance and scheduled time continue to show negligible correlation with delay (r ≈ -0.03) and only a small gap across distance_category groups — route length should remain a low priority for delay-reduction investment relative to turnaround time and internal scheduling.</w:t>
      </w:r>
    </w:p>
    <w:p>
      <w:pPr>
        <w:pStyle w:val="Heading1"/>
        <w:spacing w:after="160" w:before="360"/>
      </w:pPr>
      <w:r>
        <w:t xml:space="preserve">Limitations &amp; Considerations</w:t>
      </w:r>
    </w:p>
    <w:p>
      <w:pPr>
        <w:pStyle w:val="ListParagraph"/>
        <w:numPr>
          <w:ilvl w:val="0"/>
          <w:numId w:val="1"/>
        </w:numPr>
        <w:spacing w:after="100"/>
      </w:pPr>
      <w:r>
        <w:t xml:space="preserve">All three hypothesis tests rely on a large-sample dataset (50,000 flights); at this scale, even very small real-world differences can produce a statistically significant p-value, so statistical significance was interpreted alongside the size of the effect (e.g. WN vs DL's ~4-minute gap), not the p-value in isolation.</w:t>
      </w:r>
    </w:p>
    <w:p>
      <w:pPr>
        <w:pStyle w:val="ListParagraph"/>
        <w:numPr>
          <w:ilvl w:val="0"/>
          <w:numId w:val="1"/>
        </w:numPr>
        <w:spacing w:after="100"/>
      </w:pPr>
      <w:r>
        <w:t xml:space="preserve">The t-test compares only WN and DL; it does not confirm that every pairwise airline comparison in the dataset would be statistically significant, only that this specific, business-relevant comparison is.</w:t>
      </w:r>
    </w:p>
    <w:p>
      <w:pPr>
        <w:pStyle w:val="ListParagraph"/>
        <w:numPr>
          <w:ilvl w:val="0"/>
          <w:numId w:val="1"/>
        </w:numPr>
        <w:spacing w:after="100"/>
      </w:pPr>
      <w:r>
        <w:t xml:space="preserve">The airline_performance_score weighting (70% delay / 30% cancellation) is a reasonable business judgement, not a value derived from the data itself — a different weighting would produce a different airline ranking and should be revisited with stakeholder input.</w:t>
      </w:r>
    </w:p>
    <w:p>
      <w:pPr>
        <w:pStyle w:val="ListParagraph"/>
        <w:numPr>
          <w:ilvl w:val="0"/>
          <w:numId w:val="1"/>
        </w:numPr>
        <w:spacing w:after="100"/>
      </w:pPr>
      <w:r>
        <w:t xml:space="preserve">Engineered thresholds (15 and 60 minutes for delay_category, 500 and 1,500 miles for distance_category, and the specific peak hour windows) are based on standard industry conventions rather than being statistically optimised cut points for this specific dataset.</w:t>
      </w:r>
    </w:p>
    <w:p>
      <w:pPr>
        <w:pStyle w:val="ListParagraph"/>
        <w:numPr>
          <w:ilvl w:val="0"/>
          <w:numId w:val="1"/>
        </w:numPr>
        <w:spacing w:after="100"/>
      </w:pPr>
      <w:r>
        <w:t xml:space="preserve">As in Sprint 2, correlation and the statistical tests in this sprint describe association and group differences, not proof of causation.</w:t>
      </w:r>
    </w:p>
    <w:p>
      <w:pPr>
        <w:pStyle w:val="Heading1"/>
        <w:spacing w:after="160" w:before="360"/>
      </w:pPr>
      <w:r>
        <w:t xml:space="preserve">Conclusion</w:t>
      </w:r>
    </w:p>
    <w:p>
      <w:pPr>
        <w:spacing w:after="160"/>
      </w:pPr>
      <w:r>
        <w:t xml:space="preserve">This sprint moves the project from descriptive pattern-finding to statistically validated, decision-ready evidence. Every major pattern flagged in Sprint 2 — WN's delay gap, airline-dependent cancellation rates, and seasonal variation in delay — was formally tested and confirmed rather than left as an observation. The eight engineered features, particularly delay_risk_category and airline_performance_score, translate those validated patterns into fields that can be attached to a single flight or airline and used directly for operational flagging and benchmarking. Together with the confidence intervals established for the network's average delay figures, this sprint completes the analytical foundation the project set out to build: a clean dataset, a set of explored and validated patterns, and a feature-engineered dataset ready to support further business or predictive work.</w:t>
      </w:r>
    </w:p>
    <w:p>
      <w:pPr>
        <w:pStyle w:val="Heading1"/>
        <w:spacing w:after="160" w:before="360"/>
      </w:pPr>
      <w:r>
        <w:t xml:space="preserve">Sprint 3 Deliverables</w:t>
      </w:r>
    </w:p>
    <w:p>
      <w:pPr>
        <w:pStyle w:val="ListParagraph"/>
        <w:numPr>
          <w:ilvl w:val="0"/>
          <w:numId w:val="1"/>
        </w:numPr>
        <w:spacing w:after="100"/>
      </w:pPr>
      <w:r>
        <w:t xml:space="preserve">Statistical Analysis Notebook (sprint3_notebook.ipynb)</w:t>
      </w:r>
    </w:p>
    <w:p>
      <w:pPr>
        <w:pStyle w:val="ListParagraph"/>
        <w:numPr>
          <w:ilvl w:val="0"/>
          <w:numId w:val="1"/>
        </w:numPr>
        <w:spacing w:after="100"/>
      </w:pPr>
      <w:r>
        <w:t xml:space="preserve">Feature Engineering Notebook (same notebook — Sections 4-5)</w:t>
      </w:r>
    </w:p>
    <w:p>
      <w:pPr>
        <w:pStyle w:val="ListParagraph"/>
        <w:numPr>
          <w:ilvl w:val="0"/>
          <w:numId w:val="1"/>
        </w:numPr>
        <w:spacing w:after="100"/>
      </w:pPr>
      <w:r>
        <w:t xml:space="preserve">Hypothesis Testing Report (this document — Hypothesis Testing section)</w:t>
      </w:r>
    </w:p>
    <w:p>
      <w:pPr>
        <w:pStyle w:val="ListParagraph"/>
        <w:numPr>
          <w:ilvl w:val="0"/>
          <w:numId w:val="1"/>
        </w:numPr>
        <w:spacing w:after="100"/>
      </w:pPr>
      <w:r>
        <w:t xml:space="preserve">Feature Documentation (this document — Feature Engineering &amp; Feature Evaluation sections)</w:t>
      </w:r>
    </w:p>
    <w:p>
      <w:pPr>
        <w:pStyle w:val="ListParagraph"/>
        <w:numPr>
          <w:ilvl w:val="0"/>
          <w:numId w:val="1"/>
        </w:numPr>
        <w:spacing w:after="100"/>
      </w:pPr>
      <w:r>
        <w:t xml:space="preserve">Final Business Recommendations (this document — Final Business Recommendations section)</w:t>
      </w:r>
    </w:p>
    <w:p>
      <w:pPr>
        <w:pStyle w:val="ListParagraph"/>
        <w:numPr>
          <w:ilvl w:val="0"/>
          <w:numId w:val="1"/>
        </w:numPr>
        <w:spacing w:after="100"/>
      </w:pPr>
      <w:r>
        <w:t xml:space="preserve">Feature-Engineered Dataset (Flight_Delays_Feature_Engineered.csv)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2026-09-04T07:28:58.968Z</dcterms:created>
  <dcterms:modified xsi:type="dcterms:W3CDTF">2026-09-04T07:28:58.980Z</dcterms:modified>
</cp:coreProperties>
</file>

<file path=docProps/custom.xml><?xml version="1.0" encoding="utf-8"?>
<Properties xmlns="http://schemas.openxmlformats.org/officeDocument/2006/custom-properties" xmlns:vt="http://schemas.openxmlformats.org/officeDocument/2006/docPropsVTypes"/>
</file>