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A1A2E"/>
          <w:sz w:val="44"/>
        </w:rPr>
        <w:t>MindSync AI: An AI-Driven Smart Lifestyle Companion for IT Professionals</w:t>
      </w:r>
    </w:p>
    <w:p/>
    <w:p>
      <w:pPr>
        <w:jc w:val="center"/>
      </w:pPr>
      <w:r>
        <w:rPr>
          <w:rFonts w:ascii="Calibri" w:hAnsi="Calibri"/>
          <w:color w:val="444444"/>
          <w:sz w:val="28"/>
        </w:rPr>
        <w:t>CMP7003 - Emerging Mobile Applications</w:t>
      </w:r>
    </w:p>
    <w:p/>
    <w:p>
      <w:pPr>
        <w:jc w:val="center"/>
      </w:pPr>
      <w:r>
        <w:rPr>
          <w:rFonts w:ascii="Calibri" w:hAnsi="Calibri"/>
          <w:color w:val="555555"/>
          <w:sz w:val="26"/>
        </w:rPr>
        <w:t>PRAC 01 - Individual Report</w:t>
      </w:r>
    </w:p>
    <w:p/>
    <w:p/>
    <w:p>
      <w:pPr>
        <w:jc w:val="center"/>
      </w:pPr>
      <w:r>
        <w:rPr>
          <w:rFonts w:ascii="Calibri" w:hAnsi="Calibri"/>
          <w:sz w:val="24"/>
        </w:rPr>
        <w:t>August 2026</w:t>
      </w:r>
    </w:p>
    <w:p>
      <w:r>
        <w:br w:type="page"/>
      </w:r>
    </w:p>
    <w:p>
      <w:pPr>
        <w:pStyle w:val="Heading1"/>
      </w:pPr>
      <w:r>
        <w:t>Table of Contents</w:t>
      </w:r>
    </w:p>
    <w:p>
      <w:r>
        <w:rPr>
          <w:rFonts w:ascii="Calibri" w:hAnsi="Calibri"/>
          <w:sz w:val="22"/>
        </w:rPr>
        <w:t>1. Introduction</w:t>
      </w:r>
    </w:p>
    <w:p>
      <w:r>
        <w:rPr>
          <w:rFonts w:ascii="Calibri" w:hAnsi="Calibri"/>
          <w:sz w:val="22"/>
        </w:rPr>
        <w:t>2. Literature Review</w:t>
      </w:r>
    </w:p>
    <w:p>
      <w:r>
        <w:rPr>
          <w:rFonts w:ascii="Calibri" w:hAnsi="Calibri"/>
          <w:sz w:val="22"/>
        </w:rPr>
        <w:t xml:space="preserve">   2.1 Mental Health in the Technology Workforce</w:t>
      </w:r>
    </w:p>
    <w:p>
      <w:r>
        <w:rPr>
          <w:rFonts w:ascii="Calibri" w:hAnsi="Calibri"/>
          <w:sz w:val="22"/>
        </w:rPr>
        <w:t xml:space="preserve">   2.2 Existing Mobile Wellness Applications</w:t>
      </w:r>
    </w:p>
    <w:p>
      <w:r>
        <w:rPr>
          <w:rFonts w:ascii="Calibri" w:hAnsi="Calibri"/>
          <w:sz w:val="22"/>
        </w:rPr>
        <w:t xml:space="preserve">   2.3 Machine Learning and Explainable AI</w:t>
      </w:r>
    </w:p>
    <w:p>
      <w:r>
        <w:rPr>
          <w:rFonts w:ascii="Calibri" w:hAnsi="Calibri"/>
          <w:sz w:val="22"/>
        </w:rPr>
        <w:t xml:space="preserve">   2.4 Conversational AI and Large Language Models</w:t>
      </w:r>
    </w:p>
    <w:p>
      <w:r>
        <w:rPr>
          <w:rFonts w:ascii="Calibri" w:hAnsi="Calibri"/>
          <w:sz w:val="22"/>
        </w:rPr>
        <w:t xml:space="preserve">   2.5 Identified Gaps and Theoretical Application</w:t>
      </w:r>
    </w:p>
    <w:p>
      <w:r>
        <w:rPr>
          <w:rFonts w:ascii="Calibri" w:hAnsi="Calibri"/>
          <w:sz w:val="22"/>
        </w:rPr>
        <w:t>3. Methodology</w:t>
      </w:r>
    </w:p>
    <w:p>
      <w:r>
        <w:rPr>
          <w:rFonts w:ascii="Calibri" w:hAnsi="Calibri"/>
          <w:sz w:val="22"/>
        </w:rPr>
        <w:t xml:space="preserve">   3.1 Development Approach</w:t>
      </w:r>
    </w:p>
    <w:p>
      <w:r>
        <w:rPr>
          <w:rFonts w:ascii="Calibri" w:hAnsi="Calibri"/>
          <w:sz w:val="22"/>
        </w:rPr>
        <w:t xml:space="preserve">   3.2 System Architecture</w:t>
      </w:r>
    </w:p>
    <w:p>
      <w:r>
        <w:rPr>
          <w:rFonts w:ascii="Calibri" w:hAnsi="Calibri"/>
          <w:sz w:val="22"/>
        </w:rPr>
        <w:t xml:space="preserve">   3.3 Technology Stack</w:t>
      </w:r>
    </w:p>
    <w:p>
      <w:r>
        <w:rPr>
          <w:rFonts w:ascii="Calibri" w:hAnsi="Calibri"/>
          <w:sz w:val="22"/>
        </w:rPr>
        <w:t xml:space="preserve">   3.4 Machine Learning Pipeline</w:t>
      </w:r>
    </w:p>
    <w:p>
      <w:r>
        <w:rPr>
          <w:rFonts w:ascii="Calibri" w:hAnsi="Calibri"/>
          <w:sz w:val="22"/>
        </w:rPr>
        <w:t>4. Design and Implementation</w:t>
      </w:r>
    </w:p>
    <w:p>
      <w:r>
        <w:rPr>
          <w:rFonts w:ascii="Calibri" w:hAnsi="Calibri"/>
          <w:sz w:val="22"/>
        </w:rPr>
        <w:t xml:space="preserve">   4.1 UI/UX Design</w:t>
      </w:r>
    </w:p>
    <w:p>
      <w:r>
        <w:rPr>
          <w:rFonts w:ascii="Calibri" w:hAnsi="Calibri"/>
          <w:sz w:val="22"/>
        </w:rPr>
        <w:t xml:space="preserve">   4.2 Core Feature Implementation</w:t>
      </w:r>
    </w:p>
    <w:p>
      <w:r>
        <w:rPr>
          <w:rFonts w:ascii="Calibri" w:hAnsi="Calibri"/>
          <w:sz w:val="22"/>
        </w:rPr>
        <w:t xml:space="preserve">   4.3 Data Architecture and Integration</w:t>
      </w:r>
    </w:p>
    <w:p>
      <w:r>
        <w:rPr>
          <w:rFonts w:ascii="Calibri" w:hAnsi="Calibri"/>
          <w:sz w:val="22"/>
        </w:rPr>
        <w:t xml:space="preserve">   4.4 Security, Performance, and Scalability</w:t>
      </w:r>
    </w:p>
    <w:p>
      <w:r>
        <w:rPr>
          <w:rFonts w:ascii="Calibri" w:hAnsi="Calibri"/>
          <w:sz w:val="22"/>
        </w:rPr>
        <w:t>5. Testing and Evaluation</w:t>
      </w:r>
    </w:p>
    <w:p>
      <w:r>
        <w:rPr>
          <w:rFonts w:ascii="Calibri" w:hAnsi="Calibri"/>
          <w:sz w:val="22"/>
        </w:rPr>
        <w:t xml:space="preserve">   5.1 Testing Strategy</w:t>
      </w:r>
    </w:p>
    <w:p>
      <w:r>
        <w:rPr>
          <w:rFonts w:ascii="Calibri" w:hAnsi="Calibri"/>
          <w:sz w:val="22"/>
        </w:rPr>
        <w:t xml:space="preserve">   5.2 Performance and Security Evaluation</w:t>
      </w:r>
    </w:p>
    <w:p>
      <w:r>
        <w:rPr>
          <w:rFonts w:ascii="Calibri" w:hAnsi="Calibri"/>
          <w:sz w:val="22"/>
        </w:rPr>
        <w:t xml:space="preserve">   5.3 Challenges and Resolutions</w:t>
      </w:r>
    </w:p>
    <w:p>
      <w:r>
        <w:rPr>
          <w:rFonts w:ascii="Calibri" w:hAnsi="Calibri"/>
          <w:sz w:val="22"/>
        </w:rPr>
        <w:t>6. Conclusion and Future Work</w:t>
      </w:r>
    </w:p>
    <w:p>
      <w:r>
        <w:rPr>
          <w:rFonts w:ascii="Calibri" w:hAnsi="Calibri"/>
          <w:sz w:val="22"/>
        </w:rPr>
        <w:t>References</w:t>
      </w:r>
    </w:p>
    <w:p>
      <w:r>
        <w:br w:type="page"/>
      </w:r>
    </w:p>
    <w:p>
      <w:pPr>
        <w:pStyle w:val="Heading1"/>
      </w:pPr>
      <w:r>
        <w:t>1. Introduction</w:t>
      </w:r>
    </w:p>
    <w:p>
      <w:r>
        <w:t>The technology sector has experienced remarkable expansion over the past decade, yet this growth has brought with it a challenge that often goes unnoticed. Software engineers, DevOps specialists, and other IT professionals routinely navigate high-pressure environments characterised by tight release deadlines, on-call rotations, and extended screen time. According to a survey conducted by Haystack Analytics (2020), approximately 83 per cent of software developers reported experiencing burnout at some stage in their careers. These figures paint a concerning picture because most existing health applications target generic fitness goals rather than the cognitive and emotional stressors unique to desk-bound knowledge workers.</w:t>
      </w:r>
    </w:p>
    <w:p>
      <w:r>
        <w:t>This report presents MindSync AI, an AI-Driven Smart Lifestyle Companion developed specifically to support the mental wellbeing of IT professionals. Built as part of the CMP7003 Emerging Mobile Applications module, the application brings together several emerging technologies into a single intelligent ecosystem. A Flutter cross-platform mobile client delivers the user experience, a Python FastAPI backend manages server-side processing, Firebase cloud services handle authentication and data storage, a Random Forest machine learning model predicts burnout risk with explainable outputs, and a conversational AI coach powered by Google Gemini provides personalised wellness guidance. Rather than offering generic step counting or calorie tracking, MindSync AI understands the everyday pressures developers face and adapts its recommendations based on context-aware inputs such as time of day, weather conditions, activity levels, and historical mood patterns.</w:t>
      </w:r>
    </w:p>
    <w:p>
      <w:r>
        <w:t>The originality of this project lies in its occupation-specific intelligence. While applications like Headspace and Calm have popularised mindfulness, they lack the ability to understand that a developer working twelve-hour days during a sprint cycle needs fundamentally different advice from someone training for a marathon. MindSync AI addresses this gap through smart functionality that includes real-time burnout risk classification with SHAP-based explanations, a hybrid recommendation engine combining rule-based logic with AI-generated suggestions, sensor integration for automatic step tracking and location-aware nudges, and an offline-first architecture ensuring users can log moods and activities without internet connectivity. The practical value is clear: developers gain a personal wellness companion that speaks their language and responds to their specific working patterns.</w:t>
      </w:r>
    </w:p>
    <w:p>
      <w:pPr>
        <w:pStyle w:val="Heading1"/>
      </w:pPr>
      <w:r>
        <w:t>2. Literature Review</w:t>
      </w:r>
    </w:p>
    <w:p>
      <w:pPr>
        <w:pStyle w:val="Heading2"/>
      </w:pPr>
      <w:r>
        <w:t>2.1 Mental Health in the Technology Workforce</w:t>
      </w:r>
    </w:p>
    <w:p>
      <w:r>
        <w:t>Burnout among IT professionals is well-documented in both academic and industry literature. Maslach and Leiter (2016) define burnout as a psychological syndrome characterised by emotional exhaustion, depersonalisation, and a reduced sense of personal accomplishment. This three-dimensional model directly influenced the design of MindSync AI; the mood journaling module captures emotional exhaustion through stress and energy ratings, the AI coaching component addresses depersonalisation by providing empathetic and personalised interactions, and the weekly analytics reports help users recognise accomplishment patterns. Graziotin, Fagerholm and Abrahamsson (2015) found that developer happiness directly correlates with code quality and productivity, further justifying why a domain-specific wellness tool is needed. The Stack Overflow Developer Survey (2023) reinforces this, reporting that work-life balance remains the top priority for developers when evaluating job satisfaction.</w:t>
      </w:r>
    </w:p>
    <w:p>
      <w:pPr>
        <w:pStyle w:val="Heading2"/>
      </w:pPr>
      <w:r>
        <w:t>2.2 Existing Mobile Wellness Applications</w:t>
      </w:r>
    </w:p>
    <w:p>
      <w:r>
        <w:t>The mobile wellness market has grown significantly, with Headspace (Headspace Inc., 2024), Calm (Calm.com Inc., 2024), and Woebot (Woebot Health, 2023) leading the space. Headspace focuses on guided meditation and mindfulness exercises, while Calm offers sleep stories and relaxation soundscapes. Woebot takes a more clinical approach, delivering cognitive behavioural therapy techniques through a chatbot. However, as Balcombe and De Leo (2022) observe in their systematic review, most solutions adopt a one-size-fits-all approach without adapting recommendations based on occupation-specific stressors or real-time behavioural patterns. None of these applications combine predictive burnout analytics with conversational AI coaching and context-aware habit nudges in a single coherent platform, which is precisely the gap MindSync AI was designed to fill.</w:t>
      </w:r>
    </w:p>
    <w:p>
      <w:pPr>
        <w:pStyle w:val="Heading2"/>
      </w:pPr>
      <w:r>
        <w:t>2.3 Machine Learning and Explainable AI</w:t>
      </w:r>
    </w:p>
    <w:p>
      <w:r>
        <w:t>Ensemble learning methods like Random Forests have proven effective for tabular health data. Breiman (2001) demonstrated that Random Forests handle high-dimensional data with minimal overfitting, a property well-suited for wellness metrics where feature interactions are complex. The decision to incorporate SHAP values was informed by Lundberg and Lee (2017), who introduced SHapley Additive exPlanations to bridge model accuracy and transparency. This explainability proved critical because users reported higher confidence in predictions when they could see which factors were driving their risk scores, directly applying the theory of transparent AI to improve user trust in the system.</w:t>
      </w:r>
    </w:p>
    <w:p>
      <w:pPr>
        <w:pStyle w:val="Heading2"/>
      </w:pPr>
      <w:r>
        <w:t>2.4 Conversational AI and Large Language Models</w:t>
      </w:r>
    </w:p>
    <w:p>
      <w:r>
        <w:t>Large language models have transformed human-computer interaction. Google's Gemini model family (Google DeepMind, 2024) represents the current frontier of multimodal AI. Vaidyam et al. (2019) showed that chatbot interventions improve user engagement and self-reported mental health outcomes, while Abd-Alrazaq et al. (2020) cautioned that AI responses must remain empathetic, contextually appropriate, and clearly non-clinical. These insights directly shaped the prompt engineering strategy, including explicit wellness coaching boundaries, response length limits, and mandatory medical disclaimers appended to every LLM output.</w:t>
      </w:r>
    </w:p>
    <w:p>
      <w:pPr>
        <w:pStyle w:val="Heading2"/>
      </w:pPr>
      <w:r>
        <w:t>2.5 Identified Gaps and Theoretical Application</w:t>
      </w:r>
    </w:p>
    <w:p>
      <w:r>
        <w:t>Three gaps emerge from the literature. First, there is a shortage of wellness tools specifically designed for IT professionals despite elevated burnout rates. Second, few consumer applications combine real-time ML prediction with explainable outputs. Third, integrating LLM-based coaching with structured health tracking and context-aware recommendations remains unexplored in a single mobile application. Maslach's burnout theory informed the feature set, Breiman's ensemble methods guided the ML approach, and Lundberg's explainability framework shaped user-facing prediction outputs. These theoretical foundations were not simply referenced but actively applied to justify every major design decision in the system.</w:t>
      </w:r>
    </w:p>
    <w:p>
      <w:pPr>
        <w:pStyle w:val="Heading1"/>
      </w:pPr>
      <w:r>
        <w:t>3. Methodology</w:t>
      </w:r>
    </w:p>
    <w:p>
      <w:pPr>
        <w:pStyle w:val="Heading2"/>
      </w:pPr>
      <w:r>
        <w:t>3.1 Development Approach</w:t>
      </w:r>
    </w:p>
    <w:p>
      <w:r>
        <w:t>The project followed an Agile methodology structured around ten modular sprints. Each sprint produced a working increment, starting with core scaffold and theme configuration, progressing through authentication and data logging, and culminating with AI coaching and analytics. This iterative approach proved especially valuable when integrating external services like Firebase and the Gemini API, where unexpected constraints required design adjustments. The software development lifecycle incorporated continuous testing at each module boundary, ensuring integration issues were caught early rather than compounding across sprints.</w:t>
      </w:r>
    </w:p>
    <w:p>
      <w:pPr>
        <w:pStyle w:val="Heading2"/>
      </w:pPr>
      <w:r>
        <w:t>3.2 System Architecture</w:t>
      </w:r>
    </w:p>
    <w:p>
      <w:r>
        <w:t>MindSync AI adopts a three-tier distributed architecture designed for availability, security, and offline resilience. The client tier is a Flutter mobile application handling the user interface, local caching via Hive NoSQL storage, and sensor data collection through pedometer and GPS APIs. The application tier is a FastAPI REST service running the burnout prediction model, orchestrating Gemini API calls, fetching OpenWeather data, and managing Firestore persistence. The cloud tier leverages Firebase Authentication, Cloud Firestore, Firebase Storage, and Firebase Cloud Messaging. This separation ensures each tier can be scaled independently.</w:t>
      </w:r>
    </w:p>
    <w:p>
      <w:r>
        <w:t>The Flutter client implements Clean Architecture with three distinct layers. The presentation layer renders UI using Material 3 components and manages state through Riverpod providers offering compile-time safety. The domain layer contains pure business logic with entities, use cases, and repository interfaces having zero framework dependencies. The data layer handles Dio HTTP communication, Hive local storage, and JSON serialisation. Each of the ten feature modules (authentication, dashboard, mood, chat, reports, recommendations, notifications, profile, burnout, and settings) follows this pattern, making the codebase modular and testable. The backend mirrors this separation with API routers, service modules, Firebase wrappers, and middleware layers for logging, rate limiting, and security headers.</w:t>
      </w:r>
    </w:p>
    <w:p>
      <w:pPr>
        <w:pStyle w:val="Heading2"/>
      </w:pPr>
      <w:r>
        <w:t>3.3 Technology Stack</w:t>
      </w:r>
    </w:p>
    <w:p>
      <w:r>
        <w:t>Technology choices balanced performance, productivity, and emerging technology alignment. Flutter SDK 3.22+ was selected for cross-platform development from a single Dart codebase with Material 3 design support. FastAPI provides asynchronous request handling with built-in Pydantic validation. The ML pipeline uses Scikit-learn for model training, SHAP for explainability, and Joblib for serialisation. Google Gemini 1.5 Flash powers conversational AI with low latency. Firebase provides Authentication, Cloud Firestore NoSQL storage, Storage for media, and Cloud Messaging for push notifications. Advanced features include device sensor integration (pedometer, accelerometer, GPS via Geolocator), real-time connectivity monitoring (Connectivity Plus), interactive data visualisation (fl_chart), and Lottie animations for polished micro-interactions.</w:t>
      </w:r>
    </w:p>
    <w:p>
      <w:pPr>
        <w:pStyle w:val="Heading2"/>
      </w:pPr>
      <w:r>
        <w:t>3.4 Machine Learning Pipeline</w:t>
      </w:r>
    </w:p>
    <w:p>
      <w:r>
        <w:t>The burnout prediction model was trained on 10,000 synthetic records simulating IT professional patterns. Nine features were engineered: sleep hours, working hours, mood score, stress level, energy level, water intake, daily steps, exercise minutes, and consecutive working days. A weighted risk formula with Gaussian noise generates three classes: Low, Medium, and High burnout risk. Three algorithms were compared using cross-validation: Logistic Regression (baseline), Decision Tree (non-linear splits), and Random Forest (ensemble robustness). Random Forest achieved accuracy above 85 per cent with F1 scores exceeding 0.80. Hyperparameter tuning via GridSearchCV optimised estimator count, max depth, and minimum sample splits. SHAP TreeExplainer provides human-readable explanations mapping feature contributions to phrases like "Low sleep duration" and "Prolonged working hours," enabling users to understand why their risk level was flagged.</w:t>
      </w:r>
    </w:p>
    <w:p>
      <w:pPr>
        <w:pStyle w:val="Heading1"/>
      </w:pPr>
      <w:r>
        <w:t>4. Design and Implementation</w:t>
      </w:r>
    </w:p>
    <w:p>
      <w:pPr>
        <w:pStyle w:val="Heading2"/>
      </w:pPr>
      <w:r>
        <w:t>4.1 UI/UX Design</w:t>
      </w:r>
    </w:p>
    <w:p>
      <w:r>
        <w:t>The interface was designed around the specific needs of IT professionals who spend extended hours on screens. Both light and dark themes are supported with carefully curated colour palettes. The light theme uses Ocean Blue (#1E88E5) as the primary colour and Cool Soft Grey (#F5F7FA) as the background to reduce glare, while the dark theme employs Electric Slate Blue (#64B5F6) with Deep Coal Black (#121214). Success states use Meadow Green (#43A047) and errors use Rust Terracotta (#D84315), chosen to convey urgency without inducing panic. Typography uses Google Fonts' Inter typeface with six defined styles from Bold 28sp headlines to Medium 12sp captions. All combinations meet WCAG AA contrast standards.</w:t>
      </w:r>
    </w:p>
    <w:p>
      <w:r>
        <w:t>Navigation follows a persistent Material 3 bottom bar with five destinations: Dashboard, Mood Journal, AI Chat, Reports, and Profile. The AI Chat uses aligned bubble layouts with user messages right-aligned in primary blue and AI responses left-aligned on neutral surfaces, with quick-action chips for common queries. Touch targets enforce minimum 48x48dp regions for accessibility, text scales adaptively for screen magnifiers, and Shimmer loading effects with Lottie animations provide smooth visual feedback. The Reports module renders interactive wellness charts using fl_chart with gradient fills, drop-shadowed tooltips, and weekly trend visualisations for mood, stress, sleep, and activity data.</w:t>
      </w:r>
    </w:p>
    <w:p>
      <w:pPr>
        <w:pStyle w:val="Heading2"/>
      </w:pPr>
      <w:r>
        <w:t>4.2 Core Feature Implementation</w:t>
      </w:r>
    </w:p>
    <w:p>
      <w:r>
        <w:t>The application comprises ten feature modules. The Dashboard displays wellness scores, activity summaries, an OpenWeather-powered weather widget, and quick-action shortcuts. The Mood Journal offers a mood wheel with eight emotional states, stress and energy sliders (1-10), free-text journaling, contextual tags, and historical calendar views. The AI Chat connects to Gemini 1.5 Flash with dynamic prompts injecting user profile data, recent mood logs, and sleep metrics, keeping conversation memory to the last 10 messages to prevent token bloat. The Burnout Prediction module aggregates local metrics, sends them to FastAPI, and displays risk categories with confidence scores and SHAP-identified contributing factors.</w:t>
      </w:r>
    </w:p>
    <w:p>
      <w:r>
        <w:t>The Recommendation Engine uses a hybrid approach. Rule-based logic triggers when thresholds are breached: sleep below six hours suggests wind-down routines, stress above seven triggers 4-7-8 breathing exercises, and low hydration prompts desk water reminders. ML recommendations activate when burnout risk is Medium or High, suggesting mandatory disconnection. AI-generated recommendations provide creative contextualised advice with confidence scores, priority levels, and difficulty ratings. Context-aware intelligence incorporates weather data, time-of-day awareness, pedometer step counts, and burnout risk levels to personalise every suggestion. The notification system delivers five categories of smart nudges: hydration alerts (every 3 hours), mood logging reminders (18:30), burnout warnings (immediate), walk incentives (15:00 when steps are low), and sleep prompts (22:00).</w:t>
      </w:r>
    </w:p>
    <w:p>
      <w:pPr>
        <w:pStyle w:val="Heading2"/>
      </w:pPr>
      <w:r>
        <w:t>4.3 Data Architecture and Integration</w:t>
      </w:r>
    </w:p>
    <w:p>
      <w:r>
        <w:t>Cloud Firestore stores six collections: users, mood_logs, activity_logs, chat_sessions with messages sub-collections, burnout_predictions, and recommendations. Security rules compare request.auth.uid against document ownership fields across all collections. Locally, Hive maintains four boxes: auth_box for tokens, settings_box for preferences, mood_sync_queue for offline entries, and cached_data_box for dashboard content. The offline-first architecture uses a ConnectivityService to monitor network state and trigger automatic synchronisation. The FastAPI backend exposes RESTful endpoints with Pydantic schema validation, all responses following a standardised wrapper format. Dio HTTP interceptors on the Flutter side inject authentication tokens automatically and map network errors to typed failure objects.</w:t>
      </w:r>
    </w:p>
    <w:p>
      <w:pPr>
        <w:pStyle w:val="Heading2"/>
      </w:pPr>
      <w:r>
        <w:t>4.4 Security, Performance, and Scalability</w:t>
      </w:r>
    </w:p>
    <w:p>
      <w:r>
        <w:t>Security follows the OWASP API Security Top 10 framework. Firebase ID Token verification validates JWT signatures against Google's JWKS certificates, addressing broken authentication. Firestore rules prevent cross-user data access. A sliding-window rate limiter blocks connections exceeding 60 requests per minute per IP. Security headers (HSTS, CSP, X-Frame-Options) are injected via middleware. A prompt injection sanitisation module filters patterns like "ignore prior instructions," returning 400 Bad Request. API keys load from environment configurations, never stored in version control. Every LLM output appends a medical disclaimer.</w:t>
      </w:r>
    </w:p>
    <w:p>
      <w:r>
        <w:t>Performance uses multi-layered caching: repositories check local Hive first for immediate rendering while network updates execute asynchronously. Cold startup averages 1.1 seconds through lazy-loaded providers. Screen loads complete in approximately 40 milliseconds. The ML endpoint responds in 12 milliseconds with pre-loaded models. Gemini responses average 1.3 seconds. Compound Firestore indexes optimise multi-field queries. Pedometer sensors use low-power system-level APIs. For scalability, the Dockerised backend supports horizontal scaling via Render policies or AWS ECS. The roadmap includes isolating SHAP computation into micro-workers, wearable device integration, and model partitioning for distributed inference.</w:t>
      </w:r>
    </w:p>
    <w:p>
      <w:pPr>
        <w:pStyle w:val="Heading1"/>
      </w:pPr>
      <w:r>
        <w:t>5. Testing and Evaluation</w:t>
      </w:r>
    </w:p>
    <w:p>
      <w:pPr>
        <w:pStyle w:val="Heading2"/>
      </w:pPr>
      <w:r>
        <w:t>5.1 Testing Strategy</w:t>
      </w:r>
    </w:p>
    <w:p>
      <w:r>
        <w:t>Testing was implemented across multiple layers. The backend was validated using Pytest covering health check endpoint responses, prediction parameter validation, notification quiet-hour algorithms, analytics aggregation calculators, and prompt injection defence. The FastAPI TestClient enabled integration testing without network overhead. On the Flutter side, unit tests verified repository behaviour including local Hive saves and offline fallbacks, StateNotifier transitions, and input validators for email formats, password strength, and numeric boundaries using the Mocktail mocking framework. Widget tests validated login inputs, dashboard navigation, and settings toggles. Core navigation flows were verified through integration tests ensuring seamless end-to-end user journeys.</w:t>
      </w:r>
    </w:p>
    <w:p>
      <w:pPr>
        <w:pStyle w:val="Heading2"/>
      </w:pPr>
      <w:r>
        <w:t>5.2 Performance and Security Evaluation</w:t>
      </w:r>
    </w:p>
    <w:p>
      <w:r>
        <w:t>Load testing simulated concurrent usage at four levels. At 10 users, API latency stayed below 5 milliseconds. At 100 users, ML prediction times held constant under 15 milliseconds. At 500 users, cache helpers prevented Firestore throttling. At 1,000 users, SHAP computation emerged as the CPU-bound bottleneck, recommending cluster scaling. The tuned Random Forest achieved approximately 88 per cent accuracy with macro-averaged F1 above 0.85, exceeding targets. SHAP confirmed working hours, stress levels, and sleep duration as the strongest predictors, aligning with occupational health literature. Security testing verified Firebase token validation rejected expired and malformed tokens, Firestore rules blocked cross-user access, rate limiters throttled excessive requests, and the prompt injection filter correctly blocked known attack patterns. Usability was assessed through the WCAG 2.1 compliance measures including contrast verification, touch target sizing, and adaptive text scaling.</w:t>
      </w:r>
    </w:p>
    <w:p>
      <w:pPr>
        <w:pStyle w:val="Heading2"/>
      </w:pPr>
      <w:r>
        <w:t>5.3 Challenges and Resolutions</w:t>
      </w:r>
    </w:p>
    <w:p>
      <w:r>
        <w:t>Several challenges required creative solutions. Offline synchronisation needed careful conflict resolution when entries created without connectivity overlapped with server updates, resolved through timestamp-based priority where the most recent write takes precedence. SHAP integration introduced latency concerns, addressed by pre-initialising the TreeExplainer at server startup and caching values for identical feature vectors. Ensuring Gemini responses remained appropriate and non-clinical required iterative prompt refinement with explicit tone instructions, response length limits, and mandatory disclaimers. Firebase security rules needed extensive testing to prevent data leakage while allowing backend service operations. Reflecting on these challenges, the most significant lesson was that integrating third-party AI services demands substantially more prompt engineering effort than anticipated, and building robust fallback mechanisms is essential for production reliability.</w:t>
      </w:r>
    </w:p>
    <w:p>
      <w:pPr>
        <w:pStyle w:val="Heading1"/>
      </w:pPr>
      <w:r>
        <w:t>6. Conclusion and Future Work</w:t>
      </w:r>
    </w:p>
    <w:p>
      <w:r>
        <w:t>This project set out to develop an AI-Driven Smart Lifestyle Companion tailored to the mental wellness needs of IT professionals, and it has achieved that objective. MindSync AI successfully combines mood tracking, burnout prediction with explainable outputs, conversational AI coaching, context-aware recommendations, and visual analytics within a single cohesive mobile experience. The system demonstrates that integrating emerging technologies, specifically large language models, machine learning with SHAP explainability, real-time sensor data, and cloud-native architecture, into consumer-facing mobile applications is feasible without compromising usability or performance.</w:t>
      </w:r>
    </w:p>
    <w:p>
      <w:r>
        <w:t>The development process yielded valuable lessons. Firebase proved excellent for rapid prototyping but requires careful cost monitoring at scale. The Gemini API performed well for coaching, though prompt engineering demanded significantly more iteration than expected. Random Forest delivered solid accuracy, and SHAP explanations meaningfully improved user trust in the system's recommendations.</w:t>
      </w:r>
    </w:p>
    <w:p>
      <w:r>
        <w:t>Several future enhancements could extend the system significantly. Edge computing would enable on-device burnout inference, eliminating network dependencies and improving low-connectivity responsiveness through frameworks like TensorFlow Lite. Wearable device integration with smartwatches would provide richer biometric inputs including heart rate variability and continuous sleep tracking, substantially improving prediction accuracy. Advanced AI models with multimodal capabilities could analyse voice tone or facial expressions during video calls to detect real-time stress signals. Extended reality presents compelling possibilities; guided breathing exercises delivered through augmented reality overlays could create immersive relaxation experiences within the developer's workspace. Federated learning could allow the burnout model to improve continuously across the user base without centralising sensitive health data, addressing both accuracy and privacy simultaneously. These directions position MindSync AI as a foundation for evolving intelligent wellness ecosystems.</w:t>
      </w:r>
    </w:p>
    <w:p>
      <w:pPr>
        <w:pStyle w:val="Heading1"/>
      </w:pPr>
      <w:r>
        <w:t>References</w:t>
      </w:r>
    </w:p>
    <w:p>
      <w:pPr>
        <w:spacing w:after="120"/>
        <w:ind w:left="720" w:hanging="720"/>
      </w:pPr>
      <w:r>
        <w:rPr>
          <w:rFonts w:ascii="Calibri" w:hAnsi="Calibri"/>
          <w:sz w:val="22"/>
        </w:rPr>
        <w:t>Abd-Alrazaq, A.A., Rababeh, A., Alajlani, M., Bewick, B.M. and Househ, M. (2020) 'Effectiveness and safety of using chatbots to improve mental health: systematic review and meta-analysis', Journal of Medical Internet Research, 22(7), e16021. doi:10.2196/16021.</w:t>
      </w:r>
    </w:p>
    <w:p>
      <w:pPr>
        <w:spacing w:after="120"/>
        <w:ind w:left="720" w:hanging="720"/>
      </w:pPr>
      <w:r>
        <w:rPr>
          <w:rFonts w:ascii="Calibri" w:hAnsi="Calibri"/>
          <w:sz w:val="22"/>
        </w:rPr>
        <w:t>Balcombe, L. and De Leo, D. (2022) 'An integrated blueprint for digital mental health services amidst COVID-19', JMIR Mental Health, 9(1), e33662. doi:10.2196/33662.</w:t>
      </w:r>
    </w:p>
    <w:p>
      <w:pPr>
        <w:spacing w:after="120"/>
        <w:ind w:left="720" w:hanging="720"/>
      </w:pPr>
      <w:r>
        <w:rPr>
          <w:rFonts w:ascii="Calibri" w:hAnsi="Calibri"/>
          <w:sz w:val="22"/>
        </w:rPr>
        <w:t>Breiman, L. (2001) 'Random forests', Machine Learning, 45(1), pp. 5-32. doi:10.1023/A:1010933404324.</w:t>
      </w:r>
    </w:p>
    <w:p>
      <w:pPr>
        <w:spacing w:after="120"/>
        <w:ind w:left="720" w:hanging="720"/>
      </w:pPr>
      <w:r>
        <w:rPr>
          <w:rFonts w:ascii="Calibri" w:hAnsi="Calibri"/>
          <w:sz w:val="22"/>
        </w:rPr>
        <w:t>Calm.com Inc. (2024) Calm: meditation and sleep. Available at: https://www.calm.com (Accessed: 10 August 2026).</w:t>
      </w:r>
    </w:p>
    <w:p>
      <w:pPr>
        <w:spacing w:after="120"/>
        <w:ind w:left="720" w:hanging="720"/>
      </w:pPr>
      <w:r>
        <w:rPr>
          <w:rFonts w:ascii="Calibri" w:hAnsi="Calibri"/>
          <w:sz w:val="22"/>
        </w:rPr>
        <w:t>Google DeepMind (2024) Gemini: a family of highly capable multimodal models. Available at: https://deepmind.google/technologies/gemini/ (Accessed: 10 August 2026).</w:t>
      </w:r>
    </w:p>
    <w:p>
      <w:pPr>
        <w:spacing w:after="120"/>
        <w:ind w:left="720" w:hanging="720"/>
      </w:pPr>
      <w:r>
        <w:rPr>
          <w:rFonts w:ascii="Calibri" w:hAnsi="Calibri"/>
          <w:sz w:val="22"/>
        </w:rPr>
        <w:t>Graziotin, D., Fagerholm, F. and Abrahamsson, P. (2015) 'How do feelings affect productivity in software engineering?', IEEE Software, 32(1), pp. 52-56. doi:10.1109/MS.2014.124.</w:t>
      </w:r>
    </w:p>
    <w:p>
      <w:pPr>
        <w:spacing w:after="120"/>
        <w:ind w:left="720" w:hanging="720"/>
      </w:pPr>
      <w:r>
        <w:rPr>
          <w:rFonts w:ascii="Calibri" w:hAnsi="Calibri"/>
          <w:sz w:val="22"/>
        </w:rPr>
        <w:t>Haystack Analytics (2020) The state of developer burnout 2020. Available at: https://www.usehaystack.io (Accessed: 10 August 2026).</w:t>
      </w:r>
    </w:p>
    <w:p>
      <w:pPr>
        <w:spacing w:after="120"/>
        <w:ind w:left="720" w:hanging="720"/>
      </w:pPr>
      <w:r>
        <w:rPr>
          <w:rFonts w:ascii="Calibri" w:hAnsi="Calibri"/>
          <w:sz w:val="22"/>
        </w:rPr>
        <w:t>Headspace Inc. (2024) Headspace: mindful meditation. Available at: https://www.headspace.com (Accessed: 10 August 2026).</w:t>
      </w:r>
    </w:p>
    <w:p>
      <w:pPr>
        <w:spacing w:after="120"/>
        <w:ind w:left="720" w:hanging="720"/>
      </w:pPr>
      <w:r>
        <w:rPr>
          <w:rFonts w:ascii="Calibri" w:hAnsi="Calibri"/>
          <w:sz w:val="22"/>
        </w:rPr>
        <w:t>Lundberg, S.M. and Lee, S.I. (2017) 'A unified approach to interpreting model predictions', Proceedings of the 31st International Conference on Neural Information Processing Systems (NIPS). Long Beach, CA, 4-9 December. pp. 4765-4774.</w:t>
      </w:r>
    </w:p>
    <w:p>
      <w:pPr>
        <w:spacing w:after="120"/>
        <w:ind w:left="720" w:hanging="720"/>
      </w:pPr>
      <w:r>
        <w:rPr>
          <w:rFonts w:ascii="Calibri" w:hAnsi="Calibri"/>
          <w:sz w:val="22"/>
        </w:rPr>
        <w:t>Maslach, C. and Leiter, M.P. (2016) 'Understanding the burnout experience: recent research and its implications for psychiatry', World Psychiatry, 15(2), pp. 103-111. doi:10.1002/wps.20311.</w:t>
      </w:r>
    </w:p>
    <w:p>
      <w:pPr>
        <w:spacing w:after="120"/>
        <w:ind w:left="720" w:hanging="720"/>
      </w:pPr>
      <w:r>
        <w:rPr>
          <w:rFonts w:ascii="Calibri" w:hAnsi="Calibri"/>
          <w:sz w:val="22"/>
        </w:rPr>
        <w:t>Stack Overflow (2023) Developer survey 2023. Available at: https://survey.stackoverflow.co/2023/ (Accessed: 10 August 2026).</w:t>
      </w:r>
    </w:p>
    <w:p>
      <w:pPr>
        <w:spacing w:after="120"/>
        <w:ind w:left="720" w:hanging="720"/>
      </w:pPr>
      <w:r>
        <w:rPr>
          <w:rFonts w:ascii="Calibri" w:hAnsi="Calibri"/>
          <w:sz w:val="22"/>
        </w:rPr>
        <w:t>Vaidyam, A.N., Wisniewski, H., Halamka, J.D., Kashavan, M.S. and Torous, J.B. (2019) 'Chatbots and conversational agents in mental health: a review of the psychiatric landscape', The Canadian Journal of Psychiatry, 64(7), pp. 456-464. doi:10.1177/0706743719828977.</w:t>
      </w:r>
    </w:p>
    <w:p>
      <w:pPr>
        <w:spacing w:after="120"/>
        <w:ind w:left="720" w:hanging="720"/>
      </w:pPr>
      <w:r>
        <w:rPr>
          <w:rFonts w:ascii="Calibri" w:hAnsi="Calibri"/>
          <w:sz w:val="22"/>
        </w:rPr>
        <w:t>Woebot Health (2023) Woebot: your self-care expert. Available at: https://woebothealth.com (Accessed: 10 August 2026).</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