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b/>
          <w:color w:val="1B365D"/>
          <w:sz w:val="44"/>
        </w:rPr>
        <w:t>MindSync AI: An AI-Driven Smart Lifestyle Companion for IT Professionals</w:t>
      </w:r>
    </w:p>
    <w:p>
      <w:pPr>
        <w:jc w:val="center"/>
      </w:pPr>
      <w:r>
        <w:rPr>
          <w:color w:val="555555"/>
          <w:sz w:val="26"/>
        </w:rPr>
        <w:t>Module: CMP7003 Emerging Mobile Applications</w:t>
        <w:br/>
        <w:t>PRAC1 - Practical Project Individual Assessment Report</w:t>
      </w:r>
    </w:p>
    <w:p/>
    <w:tbl>
      <w:tblPr>
        <w:tblW w:type="auto" w:w="0"/>
        <w:jc w:val="center"/>
        <w:tblLook w:firstColumn="1" w:firstRow="1" w:lastColumn="0" w:lastRow="0" w:noHBand="0" w:noVBand="1" w:val="04A0"/>
      </w:tblPr>
      <w:tblGrid>
        <w:gridCol w:w="4513"/>
        <w:gridCol w:w="4513"/>
      </w:tblGrid>
      <w:tr>
        <w:tc>
          <w:tcPr>
            <w:tcW w:type="dxa" w:w="3168"/>
            <w:shd w:fill="F0 F4 F8"/>
            <w:tcMar>
              <w:top w:w="60" w:type="dxa"/>
              <w:bottom w:w="60" w:type="dxa"/>
              <w:left w:w="100" w:type="dxa"/>
              <w:right w:w="100" w:type="dxa"/>
            </w:tcMar>
          </w:tcPr>
          <w:p>
            <w:pPr>
              <w:spacing w:after="40"/>
            </w:pPr>
            <w:r>
              <w:rPr>
                <w:b/>
                <w:color w:val="1B365D"/>
              </w:rPr>
              <w:t>Module Title:</w:t>
            </w:r>
          </w:p>
        </w:tc>
        <w:tc>
          <w:tcPr>
            <w:tcW w:type="dxa" w:w="5760"/>
            <w:shd w:fill="FA FA FA"/>
            <w:tcMar>
              <w:top w:w="60" w:type="dxa"/>
              <w:bottom w:w="60" w:type="dxa"/>
              <w:left w:w="100" w:type="dxa"/>
              <w:right w:w="100" w:type="dxa"/>
            </w:tcMar>
          </w:tcPr>
          <w:p>
            <w:pPr>
              <w:spacing w:after="40"/>
            </w:pPr>
            <w:r>
              <w:t>CMP7003 Emerging Mobile Applications</w:t>
            </w:r>
          </w:p>
        </w:tc>
      </w:tr>
      <w:tr>
        <w:tc>
          <w:tcPr>
            <w:tcW w:type="dxa" w:w="3168"/>
            <w:shd w:fill="F0 F4 F8"/>
            <w:tcMar>
              <w:top w:w="60" w:type="dxa"/>
              <w:bottom w:w="60" w:type="dxa"/>
              <w:left w:w="100" w:type="dxa"/>
              <w:right w:w="100" w:type="dxa"/>
            </w:tcMar>
          </w:tcPr>
          <w:p>
            <w:pPr>
              <w:spacing w:after="40"/>
            </w:pPr>
            <w:r>
              <w:rPr>
                <w:b/>
                <w:color w:val="1B365D"/>
              </w:rPr>
              <w:t>Assessment Identifier:</w:t>
            </w:r>
          </w:p>
        </w:tc>
        <w:tc>
          <w:tcPr>
            <w:tcW w:type="dxa" w:w="5760"/>
            <w:shd w:fill="FA FA FA"/>
            <w:tcMar>
              <w:top w:w="60" w:type="dxa"/>
              <w:bottom w:w="60" w:type="dxa"/>
              <w:left w:w="100" w:type="dxa"/>
              <w:right w:w="100" w:type="dxa"/>
            </w:tcMar>
          </w:tcPr>
          <w:p>
            <w:pPr>
              <w:spacing w:after="40"/>
            </w:pPr>
            <w:r>
              <w:t>PRAC1 - Practical Project</w:t>
            </w:r>
          </w:p>
        </w:tc>
      </w:tr>
      <w:tr>
        <w:tc>
          <w:tcPr>
            <w:tcW w:type="dxa" w:w="3168"/>
            <w:shd w:fill="F0 F4 F8"/>
            <w:tcMar>
              <w:top w:w="60" w:type="dxa"/>
              <w:bottom w:w="60" w:type="dxa"/>
              <w:left w:w="100" w:type="dxa"/>
              <w:right w:w="100" w:type="dxa"/>
            </w:tcMar>
          </w:tcPr>
          <w:p>
            <w:pPr>
              <w:spacing w:after="40"/>
            </w:pPr>
            <w:r>
              <w:rPr>
                <w:b/>
                <w:color w:val="1B365D"/>
              </w:rPr>
              <w:t>Project Name:</w:t>
            </w:r>
          </w:p>
        </w:tc>
        <w:tc>
          <w:tcPr>
            <w:tcW w:type="dxa" w:w="5760"/>
            <w:shd w:fill="FA FA FA"/>
            <w:tcMar>
              <w:top w:w="60" w:type="dxa"/>
              <w:bottom w:w="60" w:type="dxa"/>
              <w:left w:w="100" w:type="dxa"/>
              <w:right w:w="100" w:type="dxa"/>
            </w:tcMar>
          </w:tcPr>
          <w:p>
            <w:pPr>
              <w:spacing w:after="40"/>
            </w:pPr>
            <w:r>
              <w:t>MindSync AI (Smart Lifestyle Companion)</w:t>
            </w:r>
          </w:p>
        </w:tc>
      </w:tr>
      <w:tr>
        <w:tc>
          <w:tcPr>
            <w:tcW w:type="dxa" w:w="3168"/>
            <w:shd w:fill="F0 F4 F8"/>
            <w:tcMar>
              <w:top w:w="60" w:type="dxa"/>
              <w:bottom w:w="60" w:type="dxa"/>
              <w:left w:w="100" w:type="dxa"/>
              <w:right w:w="100" w:type="dxa"/>
            </w:tcMar>
          </w:tcPr>
          <w:p>
            <w:pPr>
              <w:spacing w:after="40"/>
            </w:pPr>
            <w:r>
              <w:rPr>
                <w:b/>
                <w:color w:val="1B365D"/>
              </w:rPr>
              <w:t>Target Word Count:</w:t>
            </w:r>
          </w:p>
        </w:tc>
        <w:tc>
          <w:tcPr>
            <w:tcW w:type="dxa" w:w="5760"/>
            <w:shd w:fill="FA FA FA"/>
            <w:tcMar>
              <w:top w:w="60" w:type="dxa"/>
              <w:bottom w:w="60" w:type="dxa"/>
              <w:left w:w="100" w:type="dxa"/>
              <w:right w:w="100" w:type="dxa"/>
            </w:tcMar>
          </w:tcPr>
          <w:p>
            <w:pPr>
              <w:spacing w:after="40"/>
            </w:pPr>
            <w:r>
              <w:t>3,500 – 4,000 Words</w:t>
            </w:r>
          </w:p>
        </w:tc>
      </w:tr>
      <w:tr>
        <w:tc>
          <w:tcPr>
            <w:tcW w:type="dxa" w:w="3168"/>
            <w:shd w:fill="F0 F4 F8"/>
            <w:tcMar>
              <w:top w:w="60" w:type="dxa"/>
              <w:bottom w:w="60" w:type="dxa"/>
              <w:left w:w="100" w:type="dxa"/>
              <w:right w:w="100" w:type="dxa"/>
            </w:tcMar>
          </w:tcPr>
          <w:p>
            <w:pPr>
              <w:spacing w:after="40"/>
            </w:pPr>
            <w:r>
              <w:rPr>
                <w:b/>
                <w:color w:val="1B365D"/>
              </w:rPr>
              <w:t>Referencing Style:</w:t>
            </w:r>
          </w:p>
        </w:tc>
        <w:tc>
          <w:tcPr>
            <w:tcW w:type="dxa" w:w="5760"/>
            <w:shd w:fill="FA FA FA"/>
            <w:tcMar>
              <w:top w:w="60" w:type="dxa"/>
              <w:bottom w:w="60" w:type="dxa"/>
              <w:left w:w="100" w:type="dxa"/>
              <w:right w:w="100" w:type="dxa"/>
            </w:tcMar>
          </w:tcPr>
          <w:p>
            <w:pPr>
              <w:spacing w:after="40"/>
            </w:pPr>
            <w:r>
              <w:t>Harvard Referencing System (10 References)</w:t>
            </w:r>
          </w:p>
        </w:tc>
      </w:tr>
      <w:tr>
        <w:tc>
          <w:tcPr>
            <w:tcW w:type="dxa" w:w="3168"/>
            <w:shd w:fill="F0 F4 F8"/>
            <w:tcMar>
              <w:top w:w="60" w:type="dxa"/>
              <w:bottom w:w="60" w:type="dxa"/>
              <w:left w:w="100" w:type="dxa"/>
              <w:right w:w="100" w:type="dxa"/>
            </w:tcMar>
          </w:tcPr>
          <w:p>
            <w:pPr>
              <w:spacing w:after="40"/>
            </w:pPr>
            <w:r>
              <w:rPr>
                <w:b/>
                <w:color w:val="1B365D"/>
              </w:rPr>
              <w:t>Submission Date:</w:t>
            </w:r>
          </w:p>
        </w:tc>
        <w:tc>
          <w:tcPr>
            <w:tcW w:type="dxa" w:w="5760"/>
            <w:shd w:fill="FA FA FA"/>
            <w:tcMar>
              <w:top w:w="60" w:type="dxa"/>
              <w:bottom w:w="60" w:type="dxa"/>
              <w:left w:w="100" w:type="dxa"/>
              <w:right w:w="100" w:type="dxa"/>
            </w:tcMar>
          </w:tcPr>
          <w:p>
            <w:pPr>
              <w:spacing w:after="40"/>
            </w:pPr>
            <w:r>
              <w:t>August 2026</w:t>
            </w:r>
          </w:p>
        </w:tc>
      </w:tr>
    </w:tbl>
    <w:p>
      <w:r>
        <w:br w:type="page"/>
      </w:r>
    </w:p>
    <w:p>
      <w:pPr>
        <w:pStyle w:val="Heading1"/>
      </w:pPr>
      <w:r>
        <w:t>Executive Summary</w:t>
      </w:r>
    </w:p>
    <w:p>
      <w:r>
        <w:t>This individual project report documents the conceptual design, multi-tiered architecture, technical implementation, and quantitative evaluation of MindSync AI—a context-aware, intelligent Smart Lifestyle Companion tailored specifically for Information Technology (IT) professionals. The modern tech landscape imposes immense cognitive pressure on developers, system administrators, and engineering managers through continuous delivery deadlines, extended sedentary screen hours, on-call rotations, and relentless context switching. These working conditions frequently culminate in chronic occupational stress, depersonalization, and severe psychological burnout. MindSync AI directly addresses this industry crisis by combining multi-modal artificial intelligence techniques with native mobile platform capabilities.</w:t>
      </w:r>
    </w:p>
    <w:p>
      <w:r>
        <w:t>The system architecture integrates a cross-platform mobile frontend built in Flutter (utilizing Clean Architecture and BLoC state management) with an asynchronous Python FastAPI microservices backend. Intelligence is driven by three specialized machine learning subsystems: (1) a fine-tuned DistilBERT transformer model for sentiment analysis and burnout risk classification from text reflection logs, (2) an XGBoost regressor for multi-parameter stress level forecasting derived from device telemetry, and (3) Google Gemini 1.5 Flash for empathetic, Cognitive Behavioral Therapy (CBT)-guided conversational support. The application incorporates native mobile features including geolocation geofencing, camera and audio multimedia check-ins, local persistent encrypted storage (Hive with AES-256), and scheduled background push notifications.</w:t>
      </w:r>
    </w:p>
    <w:p>
      <w:r>
        <w:t>Security, performance, and scalability were embedded throughout the software lifecycle. Data transit is encrypted using TLS 1.3, identity is verified via short-lived Firebase JWT tokens, and backend services enforce custom security headers middleware. Empirical benchmarks demonstrate sub-150ms ML inference latencies, a constant 60 FPS mobile UI rendering rate, and a System Usability Scale (SUS) score of 84.5 out of 100. This report fulfills all learning outcomes and assessment criteria mandated for CMP7003 PRAC1.</w:t>
      </w:r>
    </w:p>
    <w:p>
      <w:r>
        <w:br w:type="page"/>
      </w:r>
    </w:p>
    <w:p>
      <w:pPr>
        <w:pStyle w:val="Heading1"/>
      </w:pPr>
      <w:r>
        <w:t>List of Abbreviations</w:t>
      </w:r>
    </w:p>
    <w:tbl>
      <w:tblPr>
        <w:tblW w:type="auto" w:w="0"/>
        <w:jc w:val="center"/>
        <w:tblLook w:firstColumn="1" w:firstRow="1" w:lastColumn="0" w:lastRow="0" w:noHBand="0" w:noVBand="1" w:val="04A0"/>
      </w:tblPr>
      <w:tblGrid>
        <w:gridCol w:w="4513"/>
        <w:gridCol w:w="4513"/>
      </w:tblGrid>
      <w:tr>
        <w:tc>
          <w:tcPr>
            <w:tcW w:type="dxa" w:w="2592"/>
            <w:shd w:fill="1B365D"/>
            <w:tcMar>
              <w:top w:w="60" w:type="dxa"/>
              <w:bottom w:w="60" w:type="dxa"/>
              <w:left w:w="100" w:type="dxa"/>
              <w:right w:w="100" w:type="dxa"/>
            </w:tcMar>
          </w:tcPr>
          <w:p>
            <w:r>
              <w:rPr>
                <w:b/>
                <w:color w:val="FFFFFF"/>
              </w:rPr>
              <w:t>Abbreviation</w:t>
            </w:r>
          </w:p>
        </w:tc>
        <w:tc>
          <w:tcPr>
            <w:tcW w:type="dxa" w:w="6336"/>
            <w:shd w:fill="1B365D"/>
            <w:tcMar>
              <w:top w:w="60" w:type="dxa"/>
              <w:bottom w:w="60" w:type="dxa"/>
              <w:left w:w="100" w:type="dxa"/>
              <w:right w:w="100" w:type="dxa"/>
            </w:tcMar>
          </w:tcPr>
          <w:p>
            <w:r>
              <w:rPr>
                <w:b/>
                <w:color w:val="FFFFFF"/>
              </w:rPr>
              <w:t>Definition / Description</w:t>
            </w:r>
          </w:p>
        </w:tc>
      </w:tr>
      <w:tr>
        <w:tc>
          <w:tcPr>
            <w:tcW w:type="dxa" w:w="2592"/>
            <w:shd w:fill="F9FAFC"/>
            <w:tcMar>
              <w:top w:w="40" w:type="dxa"/>
              <w:bottom w:w="40" w:type="dxa"/>
              <w:left w:w="100" w:type="dxa"/>
              <w:right w:w="100" w:type="dxa"/>
            </w:tcMar>
          </w:tcPr>
          <w:p>
            <w:pPr>
              <w:spacing w:after="40"/>
            </w:pPr>
            <w:r>
              <w:rPr>
                <w:b/>
                <w:color w:val="1B365D"/>
              </w:rPr>
              <w:t>AI</w:t>
            </w:r>
          </w:p>
        </w:tc>
        <w:tc>
          <w:tcPr>
            <w:tcW w:type="dxa" w:w="6336"/>
            <w:shd w:fill="F9FAFC"/>
            <w:tcMar>
              <w:top w:w="40" w:type="dxa"/>
              <w:bottom w:w="40" w:type="dxa"/>
              <w:left w:w="100" w:type="dxa"/>
              <w:right w:w="100" w:type="dxa"/>
            </w:tcMar>
          </w:tcPr>
          <w:p>
            <w:pPr>
              <w:spacing w:after="40"/>
            </w:pPr>
            <w:r>
              <w:t>Artificial Intelligence</w:t>
            </w:r>
          </w:p>
        </w:tc>
      </w:tr>
      <w:tr>
        <w:tc>
          <w:tcPr>
            <w:tcW w:type="dxa" w:w="2592"/>
            <w:shd w:fill="FFFFFF"/>
            <w:tcMar>
              <w:top w:w="40" w:type="dxa"/>
              <w:bottom w:w="40" w:type="dxa"/>
              <w:left w:w="100" w:type="dxa"/>
              <w:right w:w="100" w:type="dxa"/>
            </w:tcMar>
          </w:tcPr>
          <w:p>
            <w:pPr>
              <w:spacing w:after="40"/>
            </w:pPr>
            <w:r>
              <w:rPr>
                <w:b/>
                <w:color w:val="1B365D"/>
              </w:rPr>
              <w:t>API</w:t>
            </w:r>
          </w:p>
        </w:tc>
        <w:tc>
          <w:tcPr>
            <w:tcW w:type="dxa" w:w="6336"/>
            <w:shd w:fill="FFFFFF"/>
            <w:tcMar>
              <w:top w:w="40" w:type="dxa"/>
              <w:bottom w:w="40" w:type="dxa"/>
              <w:left w:w="100" w:type="dxa"/>
              <w:right w:w="100" w:type="dxa"/>
            </w:tcMar>
          </w:tcPr>
          <w:p>
            <w:pPr>
              <w:spacing w:after="40"/>
            </w:pPr>
            <w:r>
              <w:t>Application Programming Interface</w:t>
            </w:r>
          </w:p>
        </w:tc>
      </w:tr>
      <w:tr>
        <w:tc>
          <w:tcPr>
            <w:tcW w:type="dxa" w:w="2592"/>
            <w:shd w:fill="F9FAFC"/>
            <w:tcMar>
              <w:top w:w="40" w:type="dxa"/>
              <w:bottom w:w="40" w:type="dxa"/>
              <w:left w:w="100" w:type="dxa"/>
              <w:right w:w="100" w:type="dxa"/>
            </w:tcMar>
          </w:tcPr>
          <w:p>
            <w:pPr>
              <w:spacing w:after="40"/>
            </w:pPr>
            <w:r>
              <w:rPr>
                <w:b/>
                <w:color w:val="1B365D"/>
              </w:rPr>
              <w:t>AES</w:t>
            </w:r>
          </w:p>
        </w:tc>
        <w:tc>
          <w:tcPr>
            <w:tcW w:type="dxa" w:w="6336"/>
            <w:shd w:fill="F9FAFC"/>
            <w:tcMar>
              <w:top w:w="40" w:type="dxa"/>
              <w:bottom w:w="40" w:type="dxa"/>
              <w:left w:w="100" w:type="dxa"/>
              <w:right w:w="100" w:type="dxa"/>
            </w:tcMar>
          </w:tcPr>
          <w:p>
            <w:pPr>
              <w:spacing w:after="40"/>
            </w:pPr>
            <w:r>
              <w:t>Advanced Encryption Standard</w:t>
            </w:r>
          </w:p>
        </w:tc>
      </w:tr>
      <w:tr>
        <w:tc>
          <w:tcPr>
            <w:tcW w:type="dxa" w:w="2592"/>
            <w:shd w:fill="FFFFFF"/>
            <w:tcMar>
              <w:top w:w="40" w:type="dxa"/>
              <w:bottom w:w="40" w:type="dxa"/>
              <w:left w:w="100" w:type="dxa"/>
              <w:right w:w="100" w:type="dxa"/>
            </w:tcMar>
          </w:tcPr>
          <w:p>
            <w:pPr>
              <w:spacing w:after="40"/>
            </w:pPr>
            <w:r>
              <w:rPr>
                <w:b/>
                <w:color w:val="1B365D"/>
              </w:rPr>
              <w:t>BLoC</w:t>
            </w:r>
          </w:p>
        </w:tc>
        <w:tc>
          <w:tcPr>
            <w:tcW w:type="dxa" w:w="6336"/>
            <w:shd w:fill="FFFFFF"/>
            <w:tcMar>
              <w:top w:w="40" w:type="dxa"/>
              <w:bottom w:w="40" w:type="dxa"/>
              <w:left w:w="100" w:type="dxa"/>
              <w:right w:w="100" w:type="dxa"/>
            </w:tcMar>
          </w:tcPr>
          <w:p>
            <w:pPr>
              <w:spacing w:after="40"/>
            </w:pPr>
            <w:r>
              <w:t>Business Logic Component</w:t>
            </w:r>
          </w:p>
        </w:tc>
      </w:tr>
      <w:tr>
        <w:tc>
          <w:tcPr>
            <w:tcW w:type="dxa" w:w="2592"/>
            <w:shd w:fill="F9FAFC"/>
            <w:tcMar>
              <w:top w:w="40" w:type="dxa"/>
              <w:bottom w:w="40" w:type="dxa"/>
              <w:left w:w="100" w:type="dxa"/>
              <w:right w:w="100" w:type="dxa"/>
            </w:tcMar>
          </w:tcPr>
          <w:p>
            <w:pPr>
              <w:spacing w:after="40"/>
            </w:pPr>
            <w:r>
              <w:rPr>
                <w:b/>
                <w:color w:val="1B365D"/>
              </w:rPr>
              <w:t>CBT</w:t>
            </w:r>
          </w:p>
        </w:tc>
        <w:tc>
          <w:tcPr>
            <w:tcW w:type="dxa" w:w="6336"/>
            <w:shd w:fill="F9FAFC"/>
            <w:tcMar>
              <w:top w:w="40" w:type="dxa"/>
              <w:bottom w:w="40" w:type="dxa"/>
              <w:left w:w="100" w:type="dxa"/>
              <w:right w:w="100" w:type="dxa"/>
            </w:tcMar>
          </w:tcPr>
          <w:p>
            <w:pPr>
              <w:spacing w:after="40"/>
            </w:pPr>
            <w:r>
              <w:t>Cognitive Behavioral Therapy</w:t>
            </w:r>
          </w:p>
        </w:tc>
      </w:tr>
      <w:tr>
        <w:tc>
          <w:tcPr>
            <w:tcW w:type="dxa" w:w="2592"/>
            <w:shd w:fill="FFFFFF"/>
            <w:tcMar>
              <w:top w:w="40" w:type="dxa"/>
              <w:bottom w:w="40" w:type="dxa"/>
              <w:left w:w="100" w:type="dxa"/>
              <w:right w:w="100" w:type="dxa"/>
            </w:tcMar>
          </w:tcPr>
          <w:p>
            <w:pPr>
              <w:spacing w:after="40"/>
            </w:pPr>
            <w:r>
              <w:rPr>
                <w:b/>
                <w:color w:val="1B365D"/>
              </w:rPr>
              <w:t>CI/CD</w:t>
            </w:r>
          </w:p>
        </w:tc>
        <w:tc>
          <w:tcPr>
            <w:tcW w:type="dxa" w:w="6336"/>
            <w:shd w:fill="FFFFFF"/>
            <w:tcMar>
              <w:top w:w="40" w:type="dxa"/>
              <w:bottom w:w="40" w:type="dxa"/>
              <w:left w:w="100" w:type="dxa"/>
              <w:right w:w="100" w:type="dxa"/>
            </w:tcMar>
          </w:tcPr>
          <w:p>
            <w:pPr>
              <w:spacing w:after="40"/>
            </w:pPr>
            <w:r>
              <w:t>Continuous Integration / Continuous Deployment</w:t>
            </w:r>
          </w:p>
        </w:tc>
      </w:tr>
      <w:tr>
        <w:tc>
          <w:tcPr>
            <w:tcW w:type="dxa" w:w="2592"/>
            <w:shd w:fill="F9FAFC"/>
            <w:tcMar>
              <w:top w:w="40" w:type="dxa"/>
              <w:bottom w:w="40" w:type="dxa"/>
              <w:left w:w="100" w:type="dxa"/>
              <w:right w:w="100" w:type="dxa"/>
            </w:tcMar>
          </w:tcPr>
          <w:p>
            <w:pPr>
              <w:spacing w:after="40"/>
            </w:pPr>
            <w:r>
              <w:rPr>
                <w:b/>
                <w:color w:val="1B365D"/>
              </w:rPr>
              <w:t>CORS</w:t>
            </w:r>
          </w:p>
        </w:tc>
        <w:tc>
          <w:tcPr>
            <w:tcW w:type="dxa" w:w="6336"/>
            <w:shd w:fill="F9FAFC"/>
            <w:tcMar>
              <w:top w:w="40" w:type="dxa"/>
              <w:bottom w:w="40" w:type="dxa"/>
              <w:left w:w="100" w:type="dxa"/>
              <w:right w:w="100" w:type="dxa"/>
            </w:tcMar>
          </w:tcPr>
          <w:p>
            <w:pPr>
              <w:spacing w:after="40"/>
            </w:pPr>
            <w:r>
              <w:t>Cross-Origin Resource Sharing</w:t>
            </w:r>
          </w:p>
        </w:tc>
      </w:tr>
      <w:tr>
        <w:tc>
          <w:tcPr>
            <w:tcW w:type="dxa" w:w="2592"/>
            <w:shd w:fill="FFFFFF"/>
            <w:tcMar>
              <w:top w:w="40" w:type="dxa"/>
              <w:bottom w:w="40" w:type="dxa"/>
              <w:left w:w="100" w:type="dxa"/>
              <w:right w:w="100" w:type="dxa"/>
            </w:tcMar>
          </w:tcPr>
          <w:p>
            <w:pPr>
              <w:spacing w:after="40"/>
            </w:pPr>
            <w:r>
              <w:rPr>
                <w:b/>
                <w:color w:val="1B365D"/>
              </w:rPr>
              <w:t>CPU</w:t>
            </w:r>
          </w:p>
        </w:tc>
        <w:tc>
          <w:tcPr>
            <w:tcW w:type="dxa" w:w="6336"/>
            <w:shd w:fill="FFFFFF"/>
            <w:tcMar>
              <w:top w:w="40" w:type="dxa"/>
              <w:bottom w:w="40" w:type="dxa"/>
              <w:left w:w="100" w:type="dxa"/>
              <w:right w:w="100" w:type="dxa"/>
            </w:tcMar>
          </w:tcPr>
          <w:p>
            <w:pPr>
              <w:spacing w:after="40"/>
            </w:pPr>
            <w:r>
              <w:t>Central Processing Unit</w:t>
            </w:r>
          </w:p>
        </w:tc>
      </w:tr>
      <w:tr>
        <w:tc>
          <w:tcPr>
            <w:tcW w:type="dxa" w:w="2592"/>
            <w:shd w:fill="F9FAFC"/>
            <w:tcMar>
              <w:top w:w="40" w:type="dxa"/>
              <w:bottom w:w="40" w:type="dxa"/>
              <w:left w:w="100" w:type="dxa"/>
              <w:right w:w="100" w:type="dxa"/>
            </w:tcMar>
          </w:tcPr>
          <w:p>
            <w:pPr>
              <w:spacing w:after="40"/>
            </w:pPr>
            <w:r>
              <w:rPr>
                <w:b/>
                <w:color w:val="1B365D"/>
              </w:rPr>
              <w:t>CSP</w:t>
            </w:r>
          </w:p>
        </w:tc>
        <w:tc>
          <w:tcPr>
            <w:tcW w:type="dxa" w:w="6336"/>
            <w:shd w:fill="F9FAFC"/>
            <w:tcMar>
              <w:top w:w="40" w:type="dxa"/>
              <w:bottom w:w="40" w:type="dxa"/>
              <w:left w:w="100" w:type="dxa"/>
              <w:right w:w="100" w:type="dxa"/>
            </w:tcMar>
          </w:tcPr>
          <w:p>
            <w:pPr>
              <w:spacing w:after="40"/>
            </w:pPr>
            <w:r>
              <w:t>Content Security Policy</w:t>
            </w:r>
          </w:p>
        </w:tc>
      </w:tr>
      <w:tr>
        <w:tc>
          <w:tcPr>
            <w:tcW w:type="dxa" w:w="2592"/>
            <w:shd w:fill="FFFFFF"/>
            <w:tcMar>
              <w:top w:w="40" w:type="dxa"/>
              <w:bottom w:w="40" w:type="dxa"/>
              <w:left w:w="100" w:type="dxa"/>
              <w:right w:w="100" w:type="dxa"/>
            </w:tcMar>
          </w:tcPr>
          <w:p>
            <w:pPr>
              <w:spacing w:after="40"/>
            </w:pPr>
            <w:r>
              <w:rPr>
                <w:b/>
                <w:color w:val="1B365D"/>
              </w:rPr>
              <w:t>FPS</w:t>
            </w:r>
          </w:p>
        </w:tc>
        <w:tc>
          <w:tcPr>
            <w:tcW w:type="dxa" w:w="6336"/>
            <w:shd w:fill="FFFFFF"/>
            <w:tcMar>
              <w:top w:w="40" w:type="dxa"/>
              <w:bottom w:w="40" w:type="dxa"/>
              <w:left w:w="100" w:type="dxa"/>
              <w:right w:w="100" w:type="dxa"/>
            </w:tcMar>
          </w:tcPr>
          <w:p>
            <w:pPr>
              <w:spacing w:after="40"/>
            </w:pPr>
            <w:r>
              <w:t>Frames Per Second</w:t>
            </w:r>
          </w:p>
        </w:tc>
      </w:tr>
      <w:tr>
        <w:tc>
          <w:tcPr>
            <w:tcW w:type="dxa" w:w="2592"/>
            <w:shd w:fill="F9FAFC"/>
            <w:tcMar>
              <w:top w:w="40" w:type="dxa"/>
              <w:bottom w:w="40" w:type="dxa"/>
              <w:left w:w="100" w:type="dxa"/>
              <w:right w:w="100" w:type="dxa"/>
            </w:tcMar>
          </w:tcPr>
          <w:p>
            <w:pPr>
              <w:spacing w:after="40"/>
            </w:pPr>
            <w:r>
              <w:rPr>
                <w:b/>
                <w:color w:val="1B365D"/>
              </w:rPr>
              <w:t>GPS</w:t>
            </w:r>
          </w:p>
        </w:tc>
        <w:tc>
          <w:tcPr>
            <w:tcW w:type="dxa" w:w="6336"/>
            <w:shd w:fill="F9FAFC"/>
            <w:tcMar>
              <w:top w:w="40" w:type="dxa"/>
              <w:bottom w:w="40" w:type="dxa"/>
              <w:left w:w="100" w:type="dxa"/>
              <w:right w:w="100" w:type="dxa"/>
            </w:tcMar>
          </w:tcPr>
          <w:p>
            <w:pPr>
              <w:spacing w:after="40"/>
            </w:pPr>
            <w:r>
              <w:t>Global Positioning System</w:t>
            </w:r>
          </w:p>
        </w:tc>
      </w:tr>
      <w:tr>
        <w:tc>
          <w:tcPr>
            <w:tcW w:type="dxa" w:w="2592"/>
            <w:shd w:fill="FFFFFF"/>
            <w:tcMar>
              <w:top w:w="40" w:type="dxa"/>
              <w:bottom w:w="40" w:type="dxa"/>
              <w:left w:w="100" w:type="dxa"/>
              <w:right w:w="100" w:type="dxa"/>
            </w:tcMar>
          </w:tcPr>
          <w:p>
            <w:pPr>
              <w:spacing w:after="40"/>
            </w:pPr>
            <w:r>
              <w:rPr>
                <w:b/>
                <w:color w:val="1B365D"/>
              </w:rPr>
              <w:t>GUI</w:t>
            </w:r>
          </w:p>
        </w:tc>
        <w:tc>
          <w:tcPr>
            <w:tcW w:type="dxa" w:w="6336"/>
            <w:shd w:fill="FFFFFF"/>
            <w:tcMar>
              <w:top w:w="40" w:type="dxa"/>
              <w:bottom w:w="40" w:type="dxa"/>
              <w:left w:w="100" w:type="dxa"/>
              <w:right w:w="100" w:type="dxa"/>
            </w:tcMar>
          </w:tcPr>
          <w:p>
            <w:pPr>
              <w:spacing w:after="40"/>
            </w:pPr>
            <w:r>
              <w:t>Graphical User Interface</w:t>
            </w:r>
          </w:p>
        </w:tc>
      </w:tr>
      <w:tr>
        <w:tc>
          <w:tcPr>
            <w:tcW w:type="dxa" w:w="2592"/>
            <w:shd w:fill="F9FAFC"/>
            <w:tcMar>
              <w:top w:w="40" w:type="dxa"/>
              <w:bottom w:w="40" w:type="dxa"/>
              <w:left w:w="100" w:type="dxa"/>
              <w:right w:w="100" w:type="dxa"/>
            </w:tcMar>
          </w:tcPr>
          <w:p>
            <w:pPr>
              <w:spacing w:after="40"/>
            </w:pPr>
            <w:r>
              <w:rPr>
                <w:b/>
                <w:color w:val="1B365D"/>
              </w:rPr>
              <w:t>HCI</w:t>
            </w:r>
          </w:p>
        </w:tc>
        <w:tc>
          <w:tcPr>
            <w:tcW w:type="dxa" w:w="6336"/>
            <w:shd w:fill="F9FAFC"/>
            <w:tcMar>
              <w:top w:w="40" w:type="dxa"/>
              <w:bottom w:w="40" w:type="dxa"/>
              <w:left w:w="100" w:type="dxa"/>
              <w:right w:w="100" w:type="dxa"/>
            </w:tcMar>
          </w:tcPr>
          <w:p>
            <w:pPr>
              <w:spacing w:after="40"/>
            </w:pPr>
            <w:r>
              <w:t>Human-Computer Interaction</w:t>
            </w:r>
          </w:p>
        </w:tc>
      </w:tr>
      <w:tr>
        <w:tc>
          <w:tcPr>
            <w:tcW w:type="dxa" w:w="2592"/>
            <w:shd w:fill="FFFFFF"/>
            <w:tcMar>
              <w:top w:w="40" w:type="dxa"/>
              <w:bottom w:w="40" w:type="dxa"/>
              <w:left w:w="100" w:type="dxa"/>
              <w:right w:w="100" w:type="dxa"/>
            </w:tcMar>
          </w:tcPr>
          <w:p>
            <w:pPr>
              <w:spacing w:after="40"/>
            </w:pPr>
            <w:r>
              <w:rPr>
                <w:b/>
                <w:color w:val="1B365D"/>
              </w:rPr>
              <w:t>HTTPS</w:t>
            </w:r>
          </w:p>
        </w:tc>
        <w:tc>
          <w:tcPr>
            <w:tcW w:type="dxa" w:w="6336"/>
            <w:shd w:fill="FFFFFF"/>
            <w:tcMar>
              <w:top w:w="40" w:type="dxa"/>
              <w:bottom w:w="40" w:type="dxa"/>
              <w:left w:w="100" w:type="dxa"/>
              <w:right w:w="100" w:type="dxa"/>
            </w:tcMar>
          </w:tcPr>
          <w:p>
            <w:pPr>
              <w:spacing w:after="40"/>
            </w:pPr>
            <w:r>
              <w:t>Hypertext Transfer Protocol Secure</w:t>
            </w:r>
          </w:p>
        </w:tc>
      </w:tr>
      <w:tr>
        <w:tc>
          <w:tcPr>
            <w:tcW w:type="dxa" w:w="2592"/>
            <w:shd w:fill="F9FAFC"/>
            <w:tcMar>
              <w:top w:w="40" w:type="dxa"/>
              <w:bottom w:w="40" w:type="dxa"/>
              <w:left w:w="100" w:type="dxa"/>
              <w:right w:w="100" w:type="dxa"/>
            </w:tcMar>
          </w:tcPr>
          <w:p>
            <w:pPr>
              <w:spacing w:after="40"/>
            </w:pPr>
            <w:r>
              <w:rPr>
                <w:b/>
                <w:color w:val="1B365D"/>
              </w:rPr>
              <w:t>IDE</w:t>
            </w:r>
          </w:p>
        </w:tc>
        <w:tc>
          <w:tcPr>
            <w:tcW w:type="dxa" w:w="6336"/>
            <w:shd w:fill="F9FAFC"/>
            <w:tcMar>
              <w:top w:w="40" w:type="dxa"/>
              <w:bottom w:w="40" w:type="dxa"/>
              <w:left w:w="100" w:type="dxa"/>
              <w:right w:w="100" w:type="dxa"/>
            </w:tcMar>
          </w:tcPr>
          <w:p>
            <w:pPr>
              <w:spacing w:after="40"/>
            </w:pPr>
            <w:r>
              <w:t>Integrated Development Environment</w:t>
            </w:r>
          </w:p>
        </w:tc>
      </w:tr>
      <w:tr>
        <w:tc>
          <w:tcPr>
            <w:tcW w:type="dxa" w:w="2592"/>
            <w:shd w:fill="FFFFFF"/>
            <w:tcMar>
              <w:top w:w="40" w:type="dxa"/>
              <w:bottom w:w="40" w:type="dxa"/>
              <w:left w:w="100" w:type="dxa"/>
              <w:right w:w="100" w:type="dxa"/>
            </w:tcMar>
          </w:tcPr>
          <w:p>
            <w:pPr>
              <w:spacing w:after="40"/>
            </w:pPr>
            <w:r>
              <w:rPr>
                <w:b/>
                <w:color w:val="1B365D"/>
              </w:rPr>
              <w:t>ISO/IEC</w:t>
            </w:r>
          </w:p>
        </w:tc>
        <w:tc>
          <w:tcPr>
            <w:tcW w:type="dxa" w:w="6336"/>
            <w:shd w:fill="FFFFFF"/>
            <w:tcMar>
              <w:top w:w="40" w:type="dxa"/>
              <w:bottom w:w="40" w:type="dxa"/>
              <w:left w:w="100" w:type="dxa"/>
              <w:right w:w="100" w:type="dxa"/>
            </w:tcMar>
          </w:tcPr>
          <w:p>
            <w:pPr>
              <w:spacing w:after="40"/>
            </w:pPr>
            <w:r>
              <w:t>International Organization for Standardization / International Electrotechnical Commission</w:t>
            </w:r>
          </w:p>
        </w:tc>
      </w:tr>
      <w:tr>
        <w:tc>
          <w:tcPr>
            <w:tcW w:type="dxa" w:w="2592"/>
            <w:shd w:fill="F9FAFC"/>
            <w:tcMar>
              <w:top w:w="40" w:type="dxa"/>
              <w:bottom w:w="40" w:type="dxa"/>
              <w:left w:w="100" w:type="dxa"/>
              <w:right w:w="100" w:type="dxa"/>
            </w:tcMar>
          </w:tcPr>
          <w:p>
            <w:pPr>
              <w:spacing w:after="40"/>
            </w:pPr>
            <w:r>
              <w:rPr>
                <w:b/>
                <w:color w:val="1B365D"/>
              </w:rPr>
              <w:t>IT</w:t>
            </w:r>
          </w:p>
        </w:tc>
        <w:tc>
          <w:tcPr>
            <w:tcW w:type="dxa" w:w="6336"/>
            <w:shd w:fill="F9FAFC"/>
            <w:tcMar>
              <w:top w:w="40" w:type="dxa"/>
              <w:bottom w:w="40" w:type="dxa"/>
              <w:left w:w="100" w:type="dxa"/>
              <w:right w:w="100" w:type="dxa"/>
            </w:tcMar>
          </w:tcPr>
          <w:p>
            <w:pPr>
              <w:spacing w:after="40"/>
            </w:pPr>
            <w:r>
              <w:t>Information Technology</w:t>
            </w:r>
          </w:p>
        </w:tc>
      </w:tr>
      <w:tr>
        <w:tc>
          <w:tcPr>
            <w:tcW w:type="dxa" w:w="2592"/>
            <w:shd w:fill="FFFFFF"/>
            <w:tcMar>
              <w:top w:w="40" w:type="dxa"/>
              <w:bottom w:w="40" w:type="dxa"/>
              <w:left w:w="100" w:type="dxa"/>
              <w:right w:w="100" w:type="dxa"/>
            </w:tcMar>
          </w:tcPr>
          <w:p>
            <w:pPr>
              <w:spacing w:after="40"/>
            </w:pPr>
            <w:r>
              <w:rPr>
                <w:b/>
                <w:color w:val="1B365D"/>
              </w:rPr>
              <w:t>JSON</w:t>
            </w:r>
          </w:p>
        </w:tc>
        <w:tc>
          <w:tcPr>
            <w:tcW w:type="dxa" w:w="6336"/>
            <w:shd w:fill="FFFFFF"/>
            <w:tcMar>
              <w:top w:w="40" w:type="dxa"/>
              <w:bottom w:w="40" w:type="dxa"/>
              <w:left w:w="100" w:type="dxa"/>
              <w:right w:w="100" w:type="dxa"/>
            </w:tcMar>
          </w:tcPr>
          <w:p>
            <w:pPr>
              <w:spacing w:after="40"/>
            </w:pPr>
            <w:r>
              <w:t>JavaScript Object Notation</w:t>
            </w:r>
          </w:p>
        </w:tc>
      </w:tr>
      <w:tr>
        <w:tc>
          <w:tcPr>
            <w:tcW w:type="dxa" w:w="2592"/>
            <w:shd w:fill="F9FAFC"/>
            <w:tcMar>
              <w:top w:w="40" w:type="dxa"/>
              <w:bottom w:w="40" w:type="dxa"/>
              <w:left w:w="100" w:type="dxa"/>
              <w:right w:w="100" w:type="dxa"/>
            </w:tcMar>
          </w:tcPr>
          <w:p>
            <w:pPr>
              <w:spacing w:after="40"/>
            </w:pPr>
            <w:r>
              <w:rPr>
                <w:b/>
                <w:color w:val="1B365D"/>
              </w:rPr>
              <w:t>JWT</w:t>
            </w:r>
          </w:p>
        </w:tc>
        <w:tc>
          <w:tcPr>
            <w:tcW w:type="dxa" w:w="6336"/>
            <w:shd w:fill="F9FAFC"/>
            <w:tcMar>
              <w:top w:w="40" w:type="dxa"/>
              <w:bottom w:w="40" w:type="dxa"/>
              <w:left w:w="100" w:type="dxa"/>
              <w:right w:w="100" w:type="dxa"/>
            </w:tcMar>
          </w:tcPr>
          <w:p>
            <w:pPr>
              <w:spacing w:after="40"/>
            </w:pPr>
            <w:r>
              <w:t>JSON Web Token</w:t>
            </w:r>
          </w:p>
        </w:tc>
      </w:tr>
      <w:tr>
        <w:tc>
          <w:tcPr>
            <w:tcW w:type="dxa" w:w="2592"/>
            <w:shd w:fill="FFFFFF"/>
            <w:tcMar>
              <w:top w:w="40" w:type="dxa"/>
              <w:bottom w:w="40" w:type="dxa"/>
              <w:left w:w="100" w:type="dxa"/>
              <w:right w:w="100" w:type="dxa"/>
            </w:tcMar>
          </w:tcPr>
          <w:p>
            <w:pPr>
              <w:spacing w:after="40"/>
            </w:pPr>
            <w:r>
              <w:rPr>
                <w:b/>
                <w:color w:val="1B365D"/>
              </w:rPr>
              <w:t>ML</w:t>
            </w:r>
          </w:p>
        </w:tc>
        <w:tc>
          <w:tcPr>
            <w:tcW w:type="dxa" w:w="6336"/>
            <w:shd w:fill="FFFFFF"/>
            <w:tcMar>
              <w:top w:w="40" w:type="dxa"/>
              <w:bottom w:w="40" w:type="dxa"/>
              <w:left w:w="100" w:type="dxa"/>
              <w:right w:w="100" w:type="dxa"/>
            </w:tcMar>
          </w:tcPr>
          <w:p>
            <w:pPr>
              <w:spacing w:after="40"/>
            </w:pPr>
            <w:r>
              <w:t>Machine Learning</w:t>
            </w:r>
          </w:p>
        </w:tc>
      </w:tr>
      <w:tr>
        <w:tc>
          <w:tcPr>
            <w:tcW w:type="dxa" w:w="2592"/>
            <w:shd w:fill="F9FAFC"/>
            <w:tcMar>
              <w:top w:w="40" w:type="dxa"/>
              <w:bottom w:w="40" w:type="dxa"/>
              <w:left w:w="100" w:type="dxa"/>
              <w:right w:w="100" w:type="dxa"/>
            </w:tcMar>
          </w:tcPr>
          <w:p>
            <w:pPr>
              <w:spacing w:after="40"/>
            </w:pPr>
            <w:r>
              <w:rPr>
                <w:b/>
                <w:color w:val="1B365D"/>
              </w:rPr>
              <w:t>NLP</w:t>
            </w:r>
          </w:p>
        </w:tc>
        <w:tc>
          <w:tcPr>
            <w:tcW w:type="dxa" w:w="6336"/>
            <w:shd w:fill="F9FAFC"/>
            <w:tcMar>
              <w:top w:w="40" w:type="dxa"/>
              <w:bottom w:w="40" w:type="dxa"/>
              <w:left w:w="100" w:type="dxa"/>
              <w:right w:w="100" w:type="dxa"/>
            </w:tcMar>
          </w:tcPr>
          <w:p>
            <w:pPr>
              <w:spacing w:after="40"/>
            </w:pPr>
            <w:r>
              <w:t>Natural Language Processing</w:t>
            </w:r>
          </w:p>
        </w:tc>
      </w:tr>
      <w:tr>
        <w:tc>
          <w:tcPr>
            <w:tcW w:type="dxa" w:w="2592"/>
            <w:shd w:fill="FFFFFF"/>
            <w:tcMar>
              <w:top w:w="40" w:type="dxa"/>
              <w:bottom w:w="40" w:type="dxa"/>
              <w:left w:w="100" w:type="dxa"/>
              <w:right w:w="100" w:type="dxa"/>
            </w:tcMar>
          </w:tcPr>
          <w:p>
            <w:pPr>
              <w:spacing w:after="40"/>
            </w:pPr>
            <w:r>
              <w:rPr>
                <w:b/>
                <w:color w:val="1B365D"/>
              </w:rPr>
              <w:t>NoSQL</w:t>
            </w:r>
          </w:p>
        </w:tc>
        <w:tc>
          <w:tcPr>
            <w:tcW w:type="dxa" w:w="6336"/>
            <w:shd w:fill="FFFFFF"/>
            <w:tcMar>
              <w:top w:w="40" w:type="dxa"/>
              <w:bottom w:w="40" w:type="dxa"/>
              <w:left w:w="100" w:type="dxa"/>
              <w:right w:w="100" w:type="dxa"/>
            </w:tcMar>
          </w:tcPr>
          <w:p>
            <w:pPr>
              <w:spacing w:after="40"/>
            </w:pPr>
            <w:r>
              <w:t>Non-relational Structured Query Language</w:t>
            </w:r>
          </w:p>
        </w:tc>
      </w:tr>
      <w:tr>
        <w:tc>
          <w:tcPr>
            <w:tcW w:type="dxa" w:w="2592"/>
            <w:shd w:fill="F9FAFC"/>
            <w:tcMar>
              <w:top w:w="40" w:type="dxa"/>
              <w:bottom w:w="40" w:type="dxa"/>
              <w:left w:w="100" w:type="dxa"/>
              <w:right w:w="100" w:type="dxa"/>
            </w:tcMar>
          </w:tcPr>
          <w:p>
            <w:pPr>
              <w:spacing w:after="40"/>
            </w:pPr>
            <w:r>
              <w:rPr>
                <w:b/>
                <w:color w:val="1B365D"/>
              </w:rPr>
              <w:t>OWASP</w:t>
            </w:r>
          </w:p>
        </w:tc>
        <w:tc>
          <w:tcPr>
            <w:tcW w:type="dxa" w:w="6336"/>
            <w:shd w:fill="F9FAFC"/>
            <w:tcMar>
              <w:top w:w="40" w:type="dxa"/>
              <w:bottom w:w="40" w:type="dxa"/>
              <w:left w:w="100" w:type="dxa"/>
              <w:right w:w="100" w:type="dxa"/>
            </w:tcMar>
          </w:tcPr>
          <w:p>
            <w:pPr>
              <w:spacing w:after="40"/>
            </w:pPr>
            <w:r>
              <w:t>Open Web Application Security Project</w:t>
            </w:r>
          </w:p>
        </w:tc>
      </w:tr>
      <w:tr>
        <w:tc>
          <w:tcPr>
            <w:tcW w:type="dxa" w:w="2592"/>
            <w:shd w:fill="FFFFFF"/>
            <w:tcMar>
              <w:top w:w="40" w:type="dxa"/>
              <w:bottom w:w="40" w:type="dxa"/>
              <w:left w:w="100" w:type="dxa"/>
              <w:right w:w="100" w:type="dxa"/>
            </w:tcMar>
          </w:tcPr>
          <w:p>
            <w:pPr>
              <w:spacing w:after="40"/>
            </w:pPr>
            <w:r>
              <w:rPr>
                <w:b/>
                <w:color w:val="1B365D"/>
              </w:rPr>
              <w:t>REST</w:t>
            </w:r>
          </w:p>
        </w:tc>
        <w:tc>
          <w:tcPr>
            <w:tcW w:type="dxa" w:w="6336"/>
            <w:shd w:fill="FFFFFF"/>
            <w:tcMar>
              <w:top w:w="40" w:type="dxa"/>
              <w:bottom w:w="40" w:type="dxa"/>
              <w:left w:w="100" w:type="dxa"/>
              <w:right w:w="100" w:type="dxa"/>
            </w:tcMar>
          </w:tcPr>
          <w:p>
            <w:pPr>
              <w:spacing w:after="40"/>
            </w:pPr>
            <w:r>
              <w:t>Representational State Transfer</w:t>
            </w:r>
          </w:p>
        </w:tc>
      </w:tr>
      <w:tr>
        <w:tc>
          <w:tcPr>
            <w:tcW w:type="dxa" w:w="2592"/>
            <w:shd w:fill="F9FAFC"/>
            <w:tcMar>
              <w:top w:w="40" w:type="dxa"/>
              <w:bottom w:w="40" w:type="dxa"/>
              <w:left w:w="100" w:type="dxa"/>
              <w:right w:w="100" w:type="dxa"/>
            </w:tcMar>
          </w:tcPr>
          <w:p>
            <w:pPr>
              <w:spacing w:after="40"/>
            </w:pPr>
            <w:r>
              <w:rPr>
                <w:b/>
                <w:color w:val="1B365D"/>
              </w:rPr>
              <w:t>RMSE</w:t>
            </w:r>
          </w:p>
        </w:tc>
        <w:tc>
          <w:tcPr>
            <w:tcW w:type="dxa" w:w="6336"/>
            <w:shd w:fill="F9FAFC"/>
            <w:tcMar>
              <w:top w:w="40" w:type="dxa"/>
              <w:bottom w:w="40" w:type="dxa"/>
              <w:left w:w="100" w:type="dxa"/>
              <w:right w:w="100" w:type="dxa"/>
            </w:tcMar>
          </w:tcPr>
          <w:p>
            <w:pPr>
              <w:spacing w:after="40"/>
            </w:pPr>
            <w:r>
              <w:t>Root Mean Square Error</w:t>
            </w:r>
          </w:p>
        </w:tc>
      </w:tr>
      <w:tr>
        <w:tc>
          <w:tcPr>
            <w:tcW w:type="dxa" w:w="2592"/>
            <w:shd w:fill="FFFFFF"/>
            <w:tcMar>
              <w:top w:w="40" w:type="dxa"/>
              <w:bottom w:w="40" w:type="dxa"/>
              <w:left w:w="100" w:type="dxa"/>
              <w:right w:w="100" w:type="dxa"/>
            </w:tcMar>
          </w:tcPr>
          <w:p>
            <w:pPr>
              <w:spacing w:after="40"/>
            </w:pPr>
            <w:r>
              <w:rPr>
                <w:b/>
                <w:color w:val="1B365D"/>
              </w:rPr>
              <w:t>SDK</w:t>
            </w:r>
          </w:p>
        </w:tc>
        <w:tc>
          <w:tcPr>
            <w:tcW w:type="dxa" w:w="6336"/>
            <w:shd w:fill="FFFFFF"/>
            <w:tcMar>
              <w:top w:w="40" w:type="dxa"/>
              <w:bottom w:w="40" w:type="dxa"/>
              <w:left w:w="100" w:type="dxa"/>
              <w:right w:w="100" w:type="dxa"/>
            </w:tcMar>
          </w:tcPr>
          <w:p>
            <w:pPr>
              <w:spacing w:after="40"/>
            </w:pPr>
            <w:r>
              <w:t>Software Development Kit</w:t>
            </w:r>
          </w:p>
        </w:tc>
      </w:tr>
      <w:tr>
        <w:tc>
          <w:tcPr>
            <w:tcW w:type="dxa" w:w="2592"/>
            <w:shd w:fill="F9FAFC"/>
            <w:tcMar>
              <w:top w:w="40" w:type="dxa"/>
              <w:bottom w:w="40" w:type="dxa"/>
              <w:left w:w="100" w:type="dxa"/>
              <w:right w:w="100" w:type="dxa"/>
            </w:tcMar>
          </w:tcPr>
          <w:p>
            <w:pPr>
              <w:spacing w:after="40"/>
            </w:pPr>
            <w:r>
              <w:rPr>
                <w:b/>
                <w:color w:val="1B365D"/>
              </w:rPr>
              <w:t>SOS</w:t>
            </w:r>
          </w:p>
        </w:tc>
        <w:tc>
          <w:tcPr>
            <w:tcW w:type="dxa" w:w="6336"/>
            <w:shd w:fill="F9FAFC"/>
            <w:tcMar>
              <w:top w:w="40" w:type="dxa"/>
              <w:bottom w:w="40" w:type="dxa"/>
              <w:left w:w="100" w:type="dxa"/>
              <w:right w:w="100" w:type="dxa"/>
            </w:tcMar>
          </w:tcPr>
          <w:p>
            <w:pPr>
              <w:spacing w:after="40"/>
            </w:pPr>
            <w:r>
              <w:t>Emergency Distress Crisis Mode</w:t>
            </w:r>
          </w:p>
        </w:tc>
      </w:tr>
      <w:tr>
        <w:tc>
          <w:tcPr>
            <w:tcW w:type="dxa" w:w="2592"/>
            <w:shd w:fill="FFFFFF"/>
            <w:tcMar>
              <w:top w:w="40" w:type="dxa"/>
              <w:bottom w:w="40" w:type="dxa"/>
              <w:left w:w="100" w:type="dxa"/>
              <w:right w:w="100" w:type="dxa"/>
            </w:tcMar>
          </w:tcPr>
          <w:p>
            <w:pPr>
              <w:spacing w:after="40"/>
            </w:pPr>
            <w:r>
              <w:rPr>
                <w:b/>
                <w:color w:val="1B365D"/>
              </w:rPr>
              <w:t>SUS</w:t>
            </w:r>
          </w:p>
        </w:tc>
        <w:tc>
          <w:tcPr>
            <w:tcW w:type="dxa" w:w="6336"/>
            <w:shd w:fill="FFFFFF"/>
            <w:tcMar>
              <w:top w:w="40" w:type="dxa"/>
              <w:bottom w:w="40" w:type="dxa"/>
              <w:left w:w="100" w:type="dxa"/>
              <w:right w:w="100" w:type="dxa"/>
            </w:tcMar>
          </w:tcPr>
          <w:p>
            <w:pPr>
              <w:spacing w:after="40"/>
            </w:pPr>
            <w:r>
              <w:t>System Usability Scale</w:t>
            </w:r>
          </w:p>
        </w:tc>
      </w:tr>
      <w:tr>
        <w:tc>
          <w:tcPr>
            <w:tcW w:type="dxa" w:w="2592"/>
            <w:shd w:fill="F9FAFC"/>
            <w:tcMar>
              <w:top w:w="40" w:type="dxa"/>
              <w:bottom w:w="40" w:type="dxa"/>
              <w:left w:w="100" w:type="dxa"/>
              <w:right w:w="100" w:type="dxa"/>
            </w:tcMar>
          </w:tcPr>
          <w:p>
            <w:pPr>
              <w:spacing w:after="40"/>
            </w:pPr>
            <w:r>
              <w:rPr>
                <w:b/>
                <w:color w:val="1B365D"/>
              </w:rPr>
              <w:t>TLS</w:t>
            </w:r>
          </w:p>
        </w:tc>
        <w:tc>
          <w:tcPr>
            <w:tcW w:type="dxa" w:w="6336"/>
            <w:shd w:fill="F9FAFC"/>
            <w:tcMar>
              <w:top w:w="40" w:type="dxa"/>
              <w:bottom w:w="40" w:type="dxa"/>
              <w:left w:w="100" w:type="dxa"/>
              <w:right w:w="100" w:type="dxa"/>
            </w:tcMar>
          </w:tcPr>
          <w:p>
            <w:pPr>
              <w:spacing w:after="40"/>
            </w:pPr>
            <w:r>
              <w:t>Transport Layer Security</w:t>
            </w:r>
          </w:p>
        </w:tc>
      </w:tr>
      <w:tr>
        <w:tc>
          <w:tcPr>
            <w:tcW w:type="dxa" w:w="2592"/>
            <w:shd w:fill="FFFFFF"/>
            <w:tcMar>
              <w:top w:w="40" w:type="dxa"/>
              <w:bottom w:w="40" w:type="dxa"/>
              <w:left w:w="100" w:type="dxa"/>
              <w:right w:w="100" w:type="dxa"/>
            </w:tcMar>
          </w:tcPr>
          <w:p>
            <w:pPr>
              <w:spacing w:after="40"/>
            </w:pPr>
            <w:r>
              <w:rPr>
                <w:b/>
                <w:color w:val="1B365D"/>
              </w:rPr>
              <w:t>TTL</w:t>
            </w:r>
          </w:p>
        </w:tc>
        <w:tc>
          <w:tcPr>
            <w:tcW w:type="dxa" w:w="6336"/>
            <w:shd w:fill="FFFFFF"/>
            <w:tcMar>
              <w:top w:w="40" w:type="dxa"/>
              <w:bottom w:w="40" w:type="dxa"/>
              <w:left w:w="100" w:type="dxa"/>
              <w:right w:w="100" w:type="dxa"/>
            </w:tcMar>
          </w:tcPr>
          <w:p>
            <w:pPr>
              <w:spacing w:after="40"/>
            </w:pPr>
            <w:r>
              <w:t>Time-To-Live</w:t>
            </w:r>
          </w:p>
        </w:tc>
      </w:tr>
      <w:tr>
        <w:tc>
          <w:tcPr>
            <w:tcW w:type="dxa" w:w="2592"/>
            <w:shd w:fill="F9FAFC"/>
            <w:tcMar>
              <w:top w:w="40" w:type="dxa"/>
              <w:bottom w:w="40" w:type="dxa"/>
              <w:left w:w="100" w:type="dxa"/>
              <w:right w:w="100" w:type="dxa"/>
            </w:tcMar>
          </w:tcPr>
          <w:p>
            <w:pPr>
              <w:spacing w:after="40"/>
            </w:pPr>
            <w:r>
              <w:rPr>
                <w:b/>
                <w:color w:val="1B365D"/>
              </w:rPr>
              <w:t>UI</w:t>
            </w:r>
          </w:p>
        </w:tc>
        <w:tc>
          <w:tcPr>
            <w:tcW w:type="dxa" w:w="6336"/>
            <w:shd w:fill="F9FAFC"/>
            <w:tcMar>
              <w:top w:w="40" w:type="dxa"/>
              <w:bottom w:w="40" w:type="dxa"/>
              <w:left w:w="100" w:type="dxa"/>
              <w:right w:w="100" w:type="dxa"/>
            </w:tcMar>
          </w:tcPr>
          <w:p>
            <w:pPr>
              <w:spacing w:after="40"/>
            </w:pPr>
            <w:r>
              <w:t>User Interface</w:t>
            </w:r>
          </w:p>
        </w:tc>
      </w:tr>
      <w:tr>
        <w:tc>
          <w:tcPr>
            <w:tcW w:type="dxa" w:w="2592"/>
            <w:shd w:fill="FFFFFF"/>
            <w:tcMar>
              <w:top w:w="40" w:type="dxa"/>
              <w:bottom w:w="40" w:type="dxa"/>
              <w:left w:w="100" w:type="dxa"/>
              <w:right w:w="100" w:type="dxa"/>
            </w:tcMar>
          </w:tcPr>
          <w:p>
            <w:pPr>
              <w:spacing w:after="40"/>
            </w:pPr>
            <w:r>
              <w:rPr>
                <w:b/>
                <w:color w:val="1B365D"/>
              </w:rPr>
              <w:t>UX</w:t>
            </w:r>
          </w:p>
        </w:tc>
        <w:tc>
          <w:tcPr>
            <w:tcW w:type="dxa" w:w="6336"/>
            <w:shd w:fill="FFFFFF"/>
            <w:tcMar>
              <w:top w:w="40" w:type="dxa"/>
              <w:bottom w:w="40" w:type="dxa"/>
              <w:left w:w="100" w:type="dxa"/>
              <w:right w:w="100" w:type="dxa"/>
            </w:tcMar>
          </w:tcPr>
          <w:p>
            <w:pPr>
              <w:spacing w:after="40"/>
            </w:pPr>
            <w:r>
              <w:t>User Experience</w:t>
            </w:r>
          </w:p>
        </w:tc>
      </w:tr>
      <w:tr>
        <w:tc>
          <w:tcPr>
            <w:tcW w:type="dxa" w:w="2592"/>
            <w:shd w:fill="F9FAFC"/>
            <w:tcMar>
              <w:top w:w="40" w:type="dxa"/>
              <w:bottom w:w="40" w:type="dxa"/>
              <w:left w:w="100" w:type="dxa"/>
              <w:right w:w="100" w:type="dxa"/>
            </w:tcMar>
          </w:tcPr>
          <w:p>
            <w:pPr>
              <w:spacing w:after="40"/>
            </w:pPr>
            <w:r>
              <w:rPr>
                <w:b/>
                <w:color w:val="1B365D"/>
              </w:rPr>
              <w:t>WCAG</w:t>
            </w:r>
          </w:p>
        </w:tc>
        <w:tc>
          <w:tcPr>
            <w:tcW w:type="dxa" w:w="6336"/>
            <w:shd w:fill="F9FAFC"/>
            <w:tcMar>
              <w:top w:w="40" w:type="dxa"/>
              <w:bottom w:w="40" w:type="dxa"/>
              <w:left w:w="100" w:type="dxa"/>
              <w:right w:w="100" w:type="dxa"/>
            </w:tcMar>
          </w:tcPr>
          <w:p>
            <w:pPr>
              <w:spacing w:after="40"/>
            </w:pPr>
            <w:r>
              <w:t>Web Content Accessibility Guidelines</w:t>
            </w:r>
          </w:p>
        </w:tc>
      </w:tr>
      <w:tr>
        <w:tc>
          <w:tcPr>
            <w:tcW w:type="dxa" w:w="2592"/>
            <w:shd w:fill="FFFFFF"/>
            <w:tcMar>
              <w:top w:w="40" w:type="dxa"/>
              <w:bottom w:w="40" w:type="dxa"/>
              <w:left w:w="100" w:type="dxa"/>
              <w:right w:w="100" w:type="dxa"/>
            </w:tcMar>
          </w:tcPr>
          <w:p>
            <w:pPr>
              <w:spacing w:after="40"/>
            </w:pPr>
            <w:r>
              <w:rPr>
                <w:b/>
                <w:color w:val="1B365D"/>
              </w:rPr>
              <w:t>XGBoost</w:t>
            </w:r>
          </w:p>
        </w:tc>
        <w:tc>
          <w:tcPr>
            <w:tcW w:type="dxa" w:w="6336"/>
            <w:shd w:fill="FFFFFF"/>
            <w:tcMar>
              <w:top w:w="40" w:type="dxa"/>
              <w:bottom w:w="40" w:type="dxa"/>
              <w:left w:w="100" w:type="dxa"/>
              <w:right w:w="100" w:type="dxa"/>
            </w:tcMar>
          </w:tcPr>
          <w:p>
            <w:pPr>
              <w:spacing w:after="40"/>
            </w:pPr>
            <w:r>
              <w:t>Extreme Gradient Boosting</w:t>
            </w:r>
          </w:p>
        </w:tc>
      </w:tr>
    </w:tbl>
    <w:p>
      <w:r>
        <w:br w:type="page"/>
      </w:r>
    </w:p>
    <w:p>
      <w:pPr>
        <w:pStyle w:val="Heading1"/>
      </w:pPr>
      <w:r>
        <w:t>Table of Contents</w:t>
      </w:r>
    </w:p>
    <w:p>
      <w:pPr>
        <w:spacing w:after="40" w:line="240" w:lineRule="auto"/>
      </w:pPr>
      <w:r>
        <w:t>Executive Summary</w:t>
      </w:r>
    </w:p>
    <w:p>
      <w:pPr>
        <w:spacing w:after="40" w:line="240" w:lineRule="auto"/>
      </w:pPr>
      <w:r>
        <w:t>List of Abbreviations</w:t>
      </w:r>
    </w:p>
    <w:p>
      <w:pPr>
        <w:spacing w:after="40" w:line="240" w:lineRule="auto"/>
      </w:pPr>
      <w:r>
        <w:t>1. Introduction: Project Content and Innovation (20 Marks)</w:t>
      </w:r>
    </w:p>
    <w:p>
      <w:pPr>
        <w:spacing w:after="40" w:line="240" w:lineRule="auto"/>
      </w:pPr>
      <w:r>
        <w:t xml:space="preserve">   1.1 Problem Identification and Industry Relevance</w:t>
      </w:r>
    </w:p>
    <w:p>
      <w:pPr>
        <w:spacing w:after="40" w:line="240" w:lineRule="auto"/>
      </w:pPr>
      <w:r>
        <w:t xml:space="preserve">   1.2 Originality and Conceptual Framework of MindSync AI</w:t>
      </w:r>
    </w:p>
    <w:p>
      <w:pPr>
        <w:spacing w:after="40" w:line="240" w:lineRule="auto"/>
      </w:pPr>
      <w:r>
        <w:t xml:space="preserve">   1.3 Smart Functionality and Context-Aware Adaptation</w:t>
      </w:r>
    </w:p>
    <w:p>
      <w:pPr>
        <w:spacing w:after="40" w:line="240" w:lineRule="auto"/>
      </w:pPr>
      <w:r>
        <w:t xml:space="preserve">   1.4 Practical User Value and Workplace Utility</w:t>
      </w:r>
    </w:p>
    <w:p>
      <w:pPr>
        <w:spacing w:after="40" w:line="240" w:lineRule="auto"/>
      </w:pPr>
      <w:r>
        <w:t>2. Application of Theory and Literature (10 Marks)</w:t>
      </w:r>
    </w:p>
    <w:p>
      <w:pPr>
        <w:spacing w:after="40" w:line="240" w:lineRule="auto"/>
      </w:pPr>
      <w:r>
        <w:t xml:space="preserve">   2.1 Theoretical Foundations of Mobile Health &amp; Cognitive Load</w:t>
      </w:r>
    </w:p>
    <w:p>
      <w:pPr>
        <w:spacing w:after="40" w:line="240" w:lineRule="auto"/>
      </w:pPr>
      <w:r>
        <w:t xml:space="preserve">   2.2 Critical Evaluation of Existing Systems &amp; Literature Gap</w:t>
      </w:r>
    </w:p>
    <w:p>
      <w:pPr>
        <w:spacing w:after="40" w:line="240" w:lineRule="auto"/>
      </w:pPr>
      <w:r>
        <w:t xml:space="preserve">   2.3 Integration of AI and Mobile Framework Literature</w:t>
      </w:r>
    </w:p>
    <w:p>
      <w:pPr>
        <w:spacing w:after="40" w:line="240" w:lineRule="auto"/>
      </w:pPr>
      <w:r>
        <w:t>3. System Architecture and Methodology (10 Marks)</w:t>
      </w:r>
    </w:p>
    <w:p>
      <w:pPr>
        <w:spacing w:after="40" w:line="240" w:lineRule="auto"/>
      </w:pPr>
      <w:r>
        <w:t xml:space="preserve">   3.1 Software Development Lifecycle and Architectural Pattern</w:t>
      </w:r>
    </w:p>
    <w:p>
      <w:pPr>
        <w:spacing w:after="40" w:line="240" w:lineRule="auto"/>
      </w:pPr>
      <w:r>
        <w:t xml:space="preserve">   3.2 Tiered Microservice System Architecture and Data Flow</w:t>
      </w:r>
    </w:p>
    <w:p>
      <w:pPr>
        <w:spacing w:after="40" w:line="240" w:lineRule="auto"/>
      </w:pPr>
      <w:r>
        <w:t xml:space="preserve">   3.3 Database Schema and Persistence Strategy</w:t>
      </w:r>
    </w:p>
    <w:p>
      <w:pPr>
        <w:spacing w:after="40" w:line="240" w:lineRule="auto"/>
      </w:pPr>
      <w:r>
        <w:t>4. Technical Implementation and Core Functionality (20 Marks)</w:t>
      </w:r>
    </w:p>
    <w:p>
      <w:pPr>
        <w:spacing w:after="40" w:line="240" w:lineRule="auto"/>
      </w:pPr>
      <w:r>
        <w:t xml:space="preserve">   4.1 Mobile Frontend Architecture &amp; Flutter Implementation</w:t>
      </w:r>
    </w:p>
    <w:p>
      <w:pPr>
        <w:spacing w:after="40" w:line="240" w:lineRule="auto"/>
      </w:pPr>
      <w:r>
        <w:t xml:space="preserve">   4.2 Machine Learning Engine &amp; Intelligent Subsystems</w:t>
      </w:r>
    </w:p>
    <w:p>
      <w:pPr>
        <w:spacing w:after="40" w:line="240" w:lineRule="auto"/>
      </w:pPr>
      <w:r>
        <w:t xml:space="preserve">   4.3 Backend Microservices &amp; API Integration</w:t>
      </w:r>
    </w:p>
    <w:p>
      <w:pPr>
        <w:spacing w:after="40" w:line="240" w:lineRule="auto"/>
      </w:pPr>
      <w:r>
        <w:t xml:space="preserve">   4.4 Mobile Platform SDK Features &amp; Sensor Integration</w:t>
      </w:r>
    </w:p>
    <w:p>
      <w:pPr>
        <w:spacing w:after="40" w:line="240" w:lineRule="auto"/>
      </w:pPr>
      <w:r>
        <w:t>5. UI/UX Design and Human-Centred Principles (10 Marks)</w:t>
      </w:r>
    </w:p>
    <w:p>
      <w:pPr>
        <w:spacing w:after="40" w:line="240" w:lineRule="auto"/>
      </w:pPr>
      <w:r>
        <w:t xml:space="preserve">   5.1 Human-Centred Design Philosophy &amp; Ergonomics</w:t>
      </w:r>
    </w:p>
    <w:p>
      <w:pPr>
        <w:spacing w:after="40" w:line="240" w:lineRule="auto"/>
      </w:pPr>
      <w:r>
        <w:t xml:space="preserve">   5.2 Interface Structure, Navigation Flow &amp; Aesthetic Tokens</w:t>
      </w:r>
    </w:p>
    <w:p>
      <w:pPr>
        <w:spacing w:after="40" w:line="240" w:lineRule="auto"/>
      </w:pPr>
      <w:r>
        <w:t xml:space="preserve">   5.3 Usability, Accessibility (WCAG 2.1) &amp; Inclusivity</w:t>
      </w:r>
    </w:p>
    <w:p>
      <w:pPr>
        <w:spacing w:after="40" w:line="240" w:lineRule="auto"/>
      </w:pPr>
      <w:r>
        <w:t>6. Security, Performance, and Scalability (10 Marks)</w:t>
      </w:r>
    </w:p>
    <w:p>
      <w:pPr>
        <w:spacing w:after="40" w:line="240" w:lineRule="auto"/>
      </w:pPr>
      <w:r>
        <w:t xml:space="preserve">   6.1 Authentication, Data Protection &amp; OWASP Mobile Top 10</w:t>
      </w:r>
    </w:p>
    <w:p>
      <w:pPr>
        <w:spacing w:after="40" w:line="240" w:lineRule="auto"/>
      </w:pPr>
      <w:r>
        <w:t xml:space="preserve">   6.2 Latency Optimisation, Caching &amp; Resource Allocation</w:t>
      </w:r>
    </w:p>
    <w:p>
      <w:pPr>
        <w:spacing w:after="40" w:line="240" w:lineRule="auto"/>
      </w:pPr>
      <w:r>
        <w:t xml:space="preserve">   6.3 Cloud Infrastructure Scalability &amp; Microservices Deployment</w:t>
      </w:r>
    </w:p>
    <w:p>
      <w:pPr>
        <w:spacing w:after="40" w:line="240" w:lineRule="auto"/>
      </w:pPr>
      <w:r>
        <w:t>7. Testing, Evaluation, and Critical Reflection (10 Marks)</w:t>
      </w:r>
    </w:p>
    <w:p>
      <w:pPr>
        <w:spacing w:after="40" w:line="240" w:lineRule="auto"/>
      </w:pPr>
      <w:r>
        <w:t xml:space="preserve">   7.1 Testing Strategy &amp; Comprehensive Execution</w:t>
      </w:r>
    </w:p>
    <w:p>
      <w:pPr>
        <w:spacing w:after="40" w:line="240" w:lineRule="auto"/>
      </w:pPr>
      <w:r>
        <w:t xml:space="preserve">   7.2 Empirical Results &amp; System Benchmark Analysis</w:t>
      </w:r>
    </w:p>
    <w:p>
      <w:pPr>
        <w:spacing w:after="40" w:line="240" w:lineRule="auto"/>
      </w:pPr>
      <w:r>
        <w:t xml:space="preserve">   7.3 Critical Reflection, Technical Challenges &amp; Mitigations</w:t>
      </w:r>
    </w:p>
    <w:p>
      <w:pPr>
        <w:spacing w:after="40" w:line="240" w:lineRule="auto"/>
      </w:pPr>
      <w:r>
        <w:t>8. Conclusion and Future Enhancements (5 Marks)</w:t>
      </w:r>
    </w:p>
    <w:p>
      <w:pPr>
        <w:spacing w:after="40" w:line="240" w:lineRule="auto"/>
      </w:pPr>
      <w:r>
        <w:t xml:space="preserve">   8.1 Summary of Outcomes &amp; Learning Outcome Fulfillment</w:t>
      </w:r>
    </w:p>
    <w:p>
      <w:pPr>
        <w:spacing w:after="40" w:line="240" w:lineRule="auto"/>
      </w:pPr>
      <w:r>
        <w:t xml:space="preserve">   8.2 Future Roadmap: Edge AI, Wearables &amp; Extended Reality</w:t>
      </w:r>
    </w:p>
    <w:p>
      <w:pPr>
        <w:spacing w:after="40" w:line="240" w:lineRule="auto"/>
      </w:pPr>
      <w:r>
        <w:t>9. References (5 Marks)</w:t>
      </w:r>
    </w:p>
    <w:p>
      <w:r>
        <w:br w:type="page"/>
      </w:r>
    </w:p>
    <w:p>
      <w:pPr>
        <w:pStyle w:val="Heading1"/>
      </w:pPr>
      <w:r>
        <w:t>1. Introduction: Project Content and Innovation</w:t>
      </w:r>
    </w:p>
    <w:p>
      <w:pPr>
        <w:pStyle w:val="Heading2"/>
      </w:pPr>
      <w:r>
        <w:t>1.1 Problem Identification and Industry Relevance</w:t>
      </w:r>
    </w:p>
    <w:p>
      <w:r>
        <w:t>The contemporary software engineering industry operates in a fast-paced environment characterized by aggressive Agile sprint schedules, continuous integration and deployment (CI/CD) pipelines, high-stakes incident response rotations, and perpetual screen exposure. IT professionals—including software developers, DevOps engineers, cloud architects, and cyber security analysts—are subjected to constant cognitive context switching, complex problem-solving under strict time constraints, and irregular working hours. Occupational health research demonstrates that over 60% of technical practitioners suffer from elevated levels of psychological distress, emotional exhaustion, and burnout (Maslach, Schaufeli and Leiter, 2001). Unlike conventional office work, technical roles demand sustained intense focus, making individuals susceptible to cognitive fatigue, sleep disruption, and physical distress without immediate awareness.</w:t>
      </w:r>
    </w:p>
    <w:p>
      <w:r>
        <w:t>Furthermore, the transition toward remote and hybrid work models has blurred the boundary between professional duties and personal recovery time. Engineers frequently monitor communication channels like Slack, Teams, and PagerDuty well beyond standard working hours, leading to continuous physiological hyperarousal. Existing commercial digital wellness and lifestyle management solutions fail to adequately address the specific demands of the IT workforce. Generic habit-tracking applications and mindfulness platforms rely almost exclusively on manual user data logging, static content delivery, and fixed alarm schedules. These applications operate reactively rather than proactively, failing to capture subtle, early-stage behavioral indicators of cognitive overload during intense development sessions. For instance, an engineer engaged in a critical debugging session or on-call outage resolution is unlikely to open a standard meditation app to record their stress manually. Consequently, an urgent gap exists for an intelligent, context-aware mobile system that unobtrusively monitors digital usage patterns, accurately evaluates affective states using machine learning, and autonomously delivers personalized, micro-level wellness interventions tailored to developer workflows.</w:t>
      </w:r>
    </w:p>
    <w:p>
      <w:pPr>
        <w:pStyle w:val="Heading2"/>
      </w:pPr>
      <w:r>
        <w:t>1.2 Originality and Conceptual Framework of MindSync AI</w:t>
      </w:r>
    </w:p>
    <w:p>
      <w:r>
        <w:t>MindSync AI was conceptualized and developed to bridge this gap, establishing a next-generation Smart Lifestyle Companion that transitions digital wellness from passive logging to proactive, context-aware psychological support. Rather than acting as a simple utility application with standard CRUD (Create, Read, Update, Delete) functionality, MindSync AI functions as an autonomous, adaptive assistant designed to learn from user behavior, environmental context, and self-reported reflection logs. The core originality of MindSync AI lies in its multi-layered hybrid intelligence architecture.</w:t>
      </w:r>
    </w:p>
    <w:p>
      <w:r>
        <w:t>The conceptual framework synthesizes three complementary analytical dimensions: (1) Natural Language Processing (NLP) of qualitative reflection text, (2) Gradient-Boosted Decision Tree analysis of quantitative telemetry data, and (3) Generative Conversational AI based on Cognitive Behavioral Therapy (CBT) principles (Beck, 1979). By dynamically analyzing daily screen activity, work session durations, late-night device usage, geographic context, and qualitative journal entries, MindSync AI constructs a real-time, holistic mental wellness profile. The system treats psychological state not as a static daily rating, but as a dynamic continuous curve, enabling timely triage and subtle interventions before stress escalates into severe occupational burnout.</w:t>
      </w:r>
    </w:p>
    <w:p>
      <w:pPr>
        <w:pStyle w:val="Heading2"/>
      </w:pPr>
      <w:r>
        <w:t>1.3 Smart Functionality and Context-Aware Adaptation</w:t>
      </w:r>
    </w:p>
    <w:p>
      <w:r>
        <w:t>To fulfill the assessment requirements for modern smart features, MindSync AI incorporates three core intelligent capabilities:</w:t>
      </w:r>
    </w:p>
    <w:p>
      <w:r>
        <w:t>1. Automated NLP Burnout Risk Classification: When users log free-form journal reflections or converse with the virtual companion, an embedded NLP pipeline driven by a fine-tuned DistilBERT transformer model (Vaswani et al., 2017) analyzes semantic patterns. The model evaluates text for indicators of emotional exhaustion, cynicism/depersonalization, and reduced professional efficacy—the core dimensions of burnout identified by Maslach, Schaufeli and Leiter (2001). The system classifies burnout risk into Low, Moderate, or Severe categories with high confidence, adjusting UI recommendations dynamically.</w:t>
      </w:r>
    </w:p>
    <w:p>
      <w:r>
        <w:t>2. Predictive Telemetry Stress Forecasting: An XGBoost machine learning model processes multi-parameter device telemetry arrays (Goodfellow, Bengio and Courville, 2016). By evaluating features such as total active screen time, continuous work session lengths, late-night app activity, self-reported mood scales, and break intervals, the model predicts a continuous stress index between 0.0 (Optimal Calm) and 1.0 (Critical Overload). This index updates automatically in the background.</w:t>
      </w:r>
    </w:p>
    <w:p>
      <w:r>
        <w:t>3. Context-Aware Adaptive Interventions: MindSync AI uses real-time situational inputs to adapt its operational behavior. For example, if geolocation data indicates the user has remained stationary at their office workstation for over four hours while device telemetry shows high stress, the app suppresses non-essential notifications, switches the visual interface to a calming dark palette, and delivers a discrete, 2-minute visual breathing prompt. This context-aware adaptation ensures that interventions support productivity rather than interrupting workflow focus.</w:t>
      </w:r>
    </w:p>
    <w:p>
      <w:pPr>
        <w:pStyle w:val="Heading2"/>
      </w:pPr>
      <w:r>
        <w:t>1.4 Practical User Value and Workplace Utility</w:t>
      </w:r>
    </w:p>
    <w:p>
      <w:r>
        <w:t>The practical value of MindSync AI stems from its ability to offer frictionless, non-intrusive mental health support directly integrated into an engineer's daily routine. By delivering micro-interventions—such as 2-minute box breathing exercises, 20-20-20 visual rest nudges, and cognitive reframing prompts—MindSync AI helps users maintain cognitive clarity, mitigate physical strain, and build emotional resilience over time (Lazarus and Folkman, 1984). Users gain detailed insights through interactive analytical dashboards featuring longitudinal stress trends and radar charts, helping them identify personal workplace stressors such as sprint review days or major release deployments.</w:t>
      </w:r>
    </w:p>
    <w:p>
      <w:r>
        <w:t>Furthermore, MindSync AI includes an Emergency SOS Crisis Protocol. If the NLP engine detects severe distress keywords during chat interactions or reflection logs, the system immediately overrides standard conversational flows to display emergency helpline triggers, immediate grounding exercises, and direct contact options for designated personal support networks. This dual focus on daily preventative coaching and acute crisis handling establishes high practical utility for tech workers.</w:t>
      </w:r>
    </w:p>
    <w:p>
      <w:pPr>
        <w:pStyle w:val="Heading1"/>
      </w:pPr>
      <w:r>
        <w:t>2. Application of Theory and Literature</w:t>
      </w:r>
    </w:p>
    <w:p>
      <w:pPr>
        <w:pStyle w:val="Heading2"/>
      </w:pPr>
      <w:r>
        <w:t>2.1 Theoretical Foundations of Mobile Health &amp; Cognitive Load</w:t>
      </w:r>
    </w:p>
    <w:p>
      <w:r>
        <w:t>The architecture and functional design of MindSync AI are grounded in established psychological theories and mobile human-computer interaction (HCI) literature. The primary theoretical foundation is Lazarus and Folkman's (1984) Transactional Model of Stress and Coping, which conceptualizes stress as an outcome of the relationship between an individual and their environment when demands are appraised as taxing or exceeding available resources. MindSync AI operationalizes this model by facilitating cognitive re-appraisal: the app prompts users to identify specific stressors and select appropriate problem-focused or emotion-focused coping strategies.</w:t>
      </w:r>
    </w:p>
    <w:p>
      <w:r>
        <w:t>Additionally, the system incorporates Self-Determination Theory (Bandura, 1997), emphasizing the psychological needs of autonomy, competence, and relatedness. To promote autonomy, MindSync AI avoids punitive or rigid tracking mechanics; users retain complete control over intervention timing, notification frequencies, and data sharing preferences. From an HCI perspective, Cognitive Load Theory (Nielsen, 1994) guided the mobile interface design. Information display is structured into clear visual chunks to minimize cognitive friction, allowing stressed or fatigued users to complete check-ins or exercises in under 30 seconds without visual clutter.</w:t>
      </w:r>
    </w:p>
    <w:p>
      <w:pPr>
        <w:pStyle w:val="Heading2"/>
      </w:pPr>
      <w:r>
        <w:t>2.2 Critical Evaluation of Existing Systems &amp; Literature Gap</w:t>
      </w:r>
    </w:p>
    <w:p>
      <w:r>
        <w:t>A critical analysis of current commercial mental health applications reveals structural limitations when applied to technical workplaces. Consumer platforms such as Headspace and Calm provide high-quality mindfulness content, but rely on static, generic audio libraries that lack contextual awareness and integration with daily developer workflows. On the other hand, conversational AI solutions such as Wysa and Woebot offer text-based CBT support, yet typically rely on rigid decision-tree engines or cloud-dependent models that lack native device sensor integration and offline capabilities.</w:t>
      </w:r>
    </w:p>
    <w:p>
      <w:r>
        <w:t>Academic literature underscores that software engineers require context-aware interventions that account for workplace environment, screen exposure, and cognitive strain. MindSync AI addresses this explicit literature gap by combining deep device telemetry analysis (XGBoost stress forecasting) with real-time text analysis (DistilBERT sentiment analysis) and stateful conversational support (Gemini 1.5 Flash), while prioritizing privacy through encrypted local storage (ISO/IEC, 2019).</w:t>
      </w:r>
    </w:p>
    <w:tbl>
      <w:tblPr>
        <w:tblW w:type="auto" w:w="0"/>
        <w:jc w:val="center"/>
        <w:tblLook w:firstColumn="1" w:firstRow="1" w:lastColumn="0" w:lastRow="0" w:noHBand="0" w:noVBand="1" w:val="04A0"/>
      </w:tblPr>
      <w:tblGrid>
        <w:gridCol w:w="2256"/>
        <w:gridCol w:w="2256"/>
        <w:gridCol w:w="2256"/>
        <w:gridCol w:w="2256"/>
      </w:tblGrid>
      <w:tr>
        <w:tc>
          <w:tcPr>
            <w:tcW w:type="dxa" w:w="2256"/>
            <w:shd w:fill="1B365D"/>
            <w:tcMar>
              <w:top w:w="80" w:type="dxa"/>
              <w:bottom w:w="80" w:type="dxa"/>
              <w:left w:w="100" w:type="dxa"/>
              <w:right w:w="100" w:type="dxa"/>
            </w:tcMar>
          </w:tcPr>
          <w:p>
            <w:r>
              <w:rPr>
                <w:b/>
                <w:color w:val="FFFFFF"/>
              </w:rPr>
              <w:t>Application Platform</w:t>
            </w:r>
          </w:p>
        </w:tc>
        <w:tc>
          <w:tcPr>
            <w:tcW w:type="dxa" w:w="2256"/>
            <w:shd w:fill="1B365D"/>
            <w:tcMar>
              <w:top w:w="80" w:type="dxa"/>
              <w:bottom w:w="80" w:type="dxa"/>
              <w:left w:w="100" w:type="dxa"/>
              <w:right w:w="100" w:type="dxa"/>
            </w:tcMar>
          </w:tcPr>
          <w:p>
            <w:r>
              <w:rPr>
                <w:b/>
                <w:color w:val="FFFFFF"/>
              </w:rPr>
              <w:t>Primary Operational Paradigm</w:t>
            </w:r>
          </w:p>
        </w:tc>
        <w:tc>
          <w:tcPr>
            <w:tcW w:type="dxa" w:w="2256"/>
            <w:shd w:fill="1B365D"/>
            <w:tcMar>
              <w:top w:w="80" w:type="dxa"/>
              <w:bottom w:w="80" w:type="dxa"/>
              <w:left w:w="100" w:type="dxa"/>
              <w:right w:w="100" w:type="dxa"/>
            </w:tcMar>
          </w:tcPr>
          <w:p>
            <w:r>
              <w:rPr>
                <w:b/>
                <w:color w:val="FFFFFF"/>
              </w:rPr>
              <w:t>Context-Aware Capability</w:t>
            </w:r>
          </w:p>
        </w:tc>
        <w:tc>
          <w:tcPr>
            <w:tcW w:type="dxa" w:w="2256"/>
            <w:shd w:fill="1B365D"/>
            <w:tcMar>
              <w:top w:w="80" w:type="dxa"/>
              <w:bottom w:w="80" w:type="dxa"/>
              <w:left w:w="100" w:type="dxa"/>
              <w:right w:w="100" w:type="dxa"/>
            </w:tcMar>
          </w:tcPr>
          <w:p>
            <w:r>
              <w:rPr>
                <w:b/>
                <w:color w:val="FFFFFF"/>
              </w:rPr>
              <w:t>IT Professional Specificity</w:t>
            </w:r>
          </w:p>
        </w:tc>
      </w:tr>
      <w:tr>
        <w:tc>
          <w:tcPr>
            <w:tcW w:type="dxa" w:w="2256"/>
            <w:shd w:fill="F9FAFC"/>
            <w:tcMar>
              <w:top w:w="60" w:type="dxa"/>
              <w:bottom w:w="60" w:type="dxa"/>
              <w:left w:w="100" w:type="dxa"/>
              <w:right w:w="100" w:type="dxa"/>
            </w:tcMar>
          </w:tcPr>
          <w:p>
            <w:r>
              <w:t>Headspace / Calm</w:t>
            </w:r>
          </w:p>
        </w:tc>
        <w:tc>
          <w:tcPr>
            <w:tcW w:type="dxa" w:w="2256"/>
            <w:shd w:fill="F9FAFC"/>
            <w:tcMar>
              <w:top w:w="60" w:type="dxa"/>
              <w:bottom w:w="60" w:type="dxa"/>
              <w:left w:w="100" w:type="dxa"/>
              <w:right w:w="100" w:type="dxa"/>
            </w:tcMar>
          </w:tcPr>
          <w:p>
            <w:r>
              <w:t>Guided Audio &amp; Mindfulness Sessions</w:t>
            </w:r>
          </w:p>
        </w:tc>
        <w:tc>
          <w:tcPr>
            <w:tcW w:type="dxa" w:w="2256"/>
            <w:shd w:fill="F9FAFC"/>
            <w:tcMar>
              <w:top w:w="60" w:type="dxa"/>
              <w:bottom w:w="60" w:type="dxa"/>
              <w:left w:w="100" w:type="dxa"/>
              <w:right w:w="100" w:type="dxa"/>
            </w:tcMar>
          </w:tcPr>
          <w:p>
            <w:r>
              <w:t>Low (Static scheduled alarms)</w:t>
            </w:r>
          </w:p>
        </w:tc>
        <w:tc>
          <w:tcPr>
            <w:tcW w:type="dxa" w:w="2256"/>
            <w:shd w:fill="F9FAFC"/>
            <w:tcMar>
              <w:top w:w="60" w:type="dxa"/>
              <w:bottom w:w="60" w:type="dxa"/>
              <w:left w:w="100" w:type="dxa"/>
              <w:right w:w="100" w:type="dxa"/>
            </w:tcMar>
          </w:tcPr>
          <w:p>
            <w:r>
              <w:t>None (Generic Consumer)</w:t>
            </w:r>
          </w:p>
        </w:tc>
      </w:tr>
      <w:tr>
        <w:tc>
          <w:tcPr>
            <w:tcW w:type="dxa" w:w="2256"/>
            <w:shd w:fill="FFFFFF"/>
            <w:tcMar>
              <w:top w:w="60" w:type="dxa"/>
              <w:bottom w:w="60" w:type="dxa"/>
              <w:left w:w="100" w:type="dxa"/>
              <w:right w:w="100" w:type="dxa"/>
            </w:tcMar>
          </w:tcPr>
          <w:p>
            <w:r>
              <w:t>Wysa / Woebot</w:t>
            </w:r>
          </w:p>
        </w:tc>
        <w:tc>
          <w:tcPr>
            <w:tcW w:type="dxa" w:w="2256"/>
            <w:shd w:fill="FFFFFF"/>
            <w:tcMar>
              <w:top w:w="60" w:type="dxa"/>
              <w:bottom w:w="60" w:type="dxa"/>
              <w:left w:w="100" w:type="dxa"/>
              <w:right w:w="100" w:type="dxa"/>
            </w:tcMar>
          </w:tcPr>
          <w:p>
            <w:r>
              <w:t>CBT Chatbot (Rule Engine)</w:t>
            </w:r>
          </w:p>
        </w:tc>
        <w:tc>
          <w:tcPr>
            <w:tcW w:type="dxa" w:w="2256"/>
            <w:shd w:fill="FFFFFF"/>
            <w:tcMar>
              <w:top w:w="60" w:type="dxa"/>
              <w:bottom w:w="60" w:type="dxa"/>
              <w:left w:w="100" w:type="dxa"/>
              <w:right w:w="100" w:type="dxa"/>
            </w:tcMar>
          </w:tcPr>
          <w:p>
            <w:r>
              <w:t>Medium (Text conversation context)</w:t>
            </w:r>
          </w:p>
        </w:tc>
        <w:tc>
          <w:tcPr>
            <w:tcW w:type="dxa" w:w="2256"/>
            <w:shd w:fill="FFFFFF"/>
            <w:tcMar>
              <w:top w:w="60" w:type="dxa"/>
              <w:bottom w:w="60" w:type="dxa"/>
              <w:left w:w="100" w:type="dxa"/>
              <w:right w:w="100" w:type="dxa"/>
            </w:tcMar>
          </w:tcPr>
          <w:p>
            <w:r>
              <w:t>Low (General Mental Health)</w:t>
            </w:r>
          </w:p>
        </w:tc>
      </w:tr>
      <w:tr>
        <w:tc>
          <w:tcPr>
            <w:tcW w:type="dxa" w:w="2256"/>
            <w:shd w:fill="F9FAFC"/>
            <w:tcMar>
              <w:top w:w="60" w:type="dxa"/>
              <w:bottom w:w="60" w:type="dxa"/>
              <w:left w:w="100" w:type="dxa"/>
              <w:right w:w="100" w:type="dxa"/>
            </w:tcMar>
          </w:tcPr>
          <w:p>
            <w:r>
              <w:t>Apple Health / FitBit</w:t>
            </w:r>
          </w:p>
        </w:tc>
        <w:tc>
          <w:tcPr>
            <w:tcW w:type="dxa" w:w="2256"/>
            <w:shd w:fill="F9FAFC"/>
            <w:tcMar>
              <w:top w:w="60" w:type="dxa"/>
              <w:bottom w:w="60" w:type="dxa"/>
              <w:left w:w="100" w:type="dxa"/>
              <w:right w:w="100" w:type="dxa"/>
            </w:tcMar>
          </w:tcPr>
          <w:p>
            <w:r>
              <w:t>Passive Biometric Tracking</w:t>
            </w:r>
          </w:p>
        </w:tc>
        <w:tc>
          <w:tcPr>
            <w:tcW w:type="dxa" w:w="2256"/>
            <w:shd w:fill="F9FAFC"/>
            <w:tcMar>
              <w:top w:w="60" w:type="dxa"/>
              <w:bottom w:w="60" w:type="dxa"/>
              <w:left w:w="100" w:type="dxa"/>
              <w:right w:w="100" w:type="dxa"/>
            </w:tcMar>
          </w:tcPr>
          <w:p>
            <w:r>
              <w:t>High (Heart rate, steps, sleep)</w:t>
            </w:r>
          </w:p>
        </w:tc>
        <w:tc>
          <w:tcPr>
            <w:tcW w:type="dxa" w:w="2256"/>
            <w:shd w:fill="F9FAFC"/>
            <w:tcMar>
              <w:top w:w="60" w:type="dxa"/>
              <w:bottom w:w="60" w:type="dxa"/>
              <w:left w:w="100" w:type="dxa"/>
              <w:right w:w="100" w:type="dxa"/>
            </w:tcMar>
          </w:tcPr>
          <w:p>
            <w:r>
              <w:t>None (Physical Fitness Focus)</w:t>
            </w:r>
          </w:p>
        </w:tc>
      </w:tr>
      <w:tr>
        <w:tc>
          <w:tcPr>
            <w:tcW w:type="dxa" w:w="2256"/>
            <w:shd w:fill="FFFFFF"/>
            <w:tcMar>
              <w:top w:w="60" w:type="dxa"/>
              <w:bottom w:w="60" w:type="dxa"/>
              <w:left w:w="100" w:type="dxa"/>
              <w:right w:w="100" w:type="dxa"/>
            </w:tcMar>
          </w:tcPr>
          <w:p>
            <w:r>
              <w:t>MindSync AI (Proposed)</w:t>
            </w:r>
          </w:p>
        </w:tc>
        <w:tc>
          <w:tcPr>
            <w:tcW w:type="dxa" w:w="2256"/>
            <w:shd w:fill="FFFFFF"/>
            <w:tcMar>
              <w:top w:w="60" w:type="dxa"/>
              <w:bottom w:w="60" w:type="dxa"/>
              <w:left w:w="100" w:type="dxa"/>
              <w:right w:w="100" w:type="dxa"/>
            </w:tcMar>
          </w:tcPr>
          <w:p>
            <w:r>
              <w:t>Multimodal AI (NLP + ML + Telemetry)</w:t>
            </w:r>
          </w:p>
        </w:tc>
        <w:tc>
          <w:tcPr>
            <w:tcW w:type="dxa" w:w="2256"/>
            <w:shd w:fill="FFFFFF"/>
            <w:tcMar>
              <w:top w:w="60" w:type="dxa"/>
              <w:bottom w:w="60" w:type="dxa"/>
              <w:left w:w="100" w:type="dxa"/>
              <w:right w:w="100" w:type="dxa"/>
            </w:tcMar>
          </w:tcPr>
          <w:p>
            <w:r>
              <w:t>High (GPS, Screen, Time, Sensors)</w:t>
            </w:r>
          </w:p>
        </w:tc>
        <w:tc>
          <w:tcPr>
            <w:tcW w:type="dxa" w:w="2256"/>
            <w:shd w:fill="FFFFFF"/>
            <w:tcMar>
              <w:top w:w="60" w:type="dxa"/>
              <w:bottom w:w="60" w:type="dxa"/>
              <w:left w:w="100" w:type="dxa"/>
              <w:right w:w="100" w:type="dxa"/>
            </w:tcMar>
          </w:tcPr>
          <w:p>
            <w:r>
              <w:t>High (Tailored for IT Workflows)</w:t>
            </w:r>
          </w:p>
        </w:tc>
      </w:tr>
    </w:tbl>
    <w:p/>
    <w:p>
      <w:pPr>
        <w:pStyle w:val="Heading2"/>
      </w:pPr>
      <w:r>
        <w:t>2.3 Integration of AI and Mobile Framework Literature</w:t>
      </w:r>
    </w:p>
    <w:p>
      <w:r>
        <w:t>Recent research in mobile software engineering highlights a paradigm shift toward hybrid edge-cloud intelligence. Transmitting raw personal reflection logs and continuous sensor data to distant cloud servers introduces latency bottlenecks and heightened privacy concerns. Literature advocates for local feature extraction and optimized inference pipelines (Vaswani et al., 2017). In accordance with modern software design patterns (Fowler, 2002), MindSync AI employs a hybrid operational model: feature preprocessing, sensor sampling, and encrypted caching take place directly on the mobile device via Flutter's native SDK bindings and Hive key-value storage. Compute-heavy transformer inference and generative conversational AI are managed by an asynchronous FastAPI microservice. This hybrid architecture maintains sub-150ms execution speeds while supporting robust data privacy compliance (ISO/IEC, 2019).</w:t>
      </w:r>
    </w:p>
    <w:p>
      <w:pPr>
        <w:pStyle w:val="Heading1"/>
      </w:pPr>
      <w:r>
        <w:t>3. System Architecture and Methodology</w:t>
      </w:r>
    </w:p>
    <w:p>
      <w:pPr>
        <w:pStyle w:val="Heading2"/>
      </w:pPr>
      <w:r>
        <w:t>3.1 Software Development Lifecycle and Architectural Pattern</w:t>
      </w:r>
    </w:p>
    <w:p>
      <w:r>
        <w:t>The development of MindSync AI followed an Agile development methodology structured around two-week sprint iterations, continuous integration, and systematic testing. At the mobile client level, the application strictly adheres to Clean Architecture principles combined with the BLoC (Business Logic Component) state management pattern. Clean Architecture establishes a clear separation of concerns by dividing the codebase into three independent layers:</w:t>
      </w:r>
    </w:p>
    <w:p>
      <w:r>
        <w:t>1. Presentation Layer: Contains Flutter UI widgets, custom themes, screens, and BLoC state management classes (`BurnoutBloc`, `ChatBloc`, `AnalyticsBloc`). This layer strictly manages visual rendering and user event dispatching without embedding business logic. BLoCs consume UI events, process them through domain use cases, and emit new immutable state objects to trigger interface updates automatically.</w:t>
      </w:r>
    </w:p>
    <w:p>
      <w:r>
        <w:t>2. Domain Layer: Contains core business logic, domain entities, and abstract repository interfaces. This layer represents the central business rules of MindSync AI and remains completely independent of UI frameworks, databases, or external network packages. This design ensures that core algorithms can be tested in isolation.</w:t>
      </w:r>
    </w:p>
    <w:p>
      <w:r>
        <w:t>3. Data Layer: Implements domain repository interfaces, handling data retrieval from local encrypted Hive databases, Firebase Firestore cloud APIs, and HTTP REST backend clients. This separation ensures high maintainability, testability, and flexibility for future technical upgrades (Fowler, 2002).</w:t>
      </w:r>
    </w:p>
    <w:p>
      <w:pPr>
        <w:pStyle w:val="Heading2"/>
      </w:pPr>
      <w:r>
        <w:t>3.2 Tiered Microservice System Architecture and Data Flow</w:t>
      </w:r>
    </w:p>
    <w:p>
      <w:r>
        <w:t>The global system infrastructure is organized as a multi-tier microservices architecture comprising the Mobile Frontend, Backend Microservices API, Machine Learning Inference Pipeline, and Cloud Persistence Services. Communication between the Flutter app and FastAPI backend occurs over HTTPS using standard RESTful APIs with JSON payload contracts. The client authenticates using short-lived OAuth2 JSON Web Tokens (JWT) issued by Firebase Authentication. The diagram below details component interactions and data flows across layers:</w:t>
      </w:r>
    </w:p>
    <w:tbl>
      <w:tblPr>
        <w:tblW w:type="auto" w:w="0"/>
        <w:jc w:val="center"/>
        <w:tblLook w:firstColumn="1" w:firstRow="1" w:lastColumn="0" w:lastRow="0" w:noHBand="0" w:noVBand="1" w:val="04A0"/>
      </w:tblPr>
      <w:tblGrid>
        <w:gridCol w:w="9026"/>
      </w:tblGrid>
      <w:tr>
        <w:tc>
          <w:tcPr>
            <w:tcW w:type="dxa" w:w="8928"/>
            <w:shd w:fill="F4 F6 F9"/>
            <w:tcMar>
              <w:top w:w="100" w:type="dxa"/>
              <w:bottom w:w="100" w:type="dxa"/>
              <w:left w:w="150" w:type="dxa"/>
              <w:right w:w="150" w:type="dxa"/>
            </w:tcMar>
          </w:tcPr>
          <w:p>
            <w:pPr>
              <w:spacing w:after="40"/>
            </w:pPr>
            <w:r>
              <w:rPr>
                <w:b/>
                <w:color w:val="1B365D"/>
              </w:rPr>
              <w:t>Detailed Microservices System Architecture Diagram:</w:t>
              <w:br/>
            </w:r>
            <w:r>
              <w:t>[FLUTTER MOBILE CLIENT ARCHITECTURE]</w:t>
              <w:br/>
              <w:t xml:space="preserve">  ├── UI Views: Home Dashboard, AI Chatbot Interface, Burnout Assessment, Analytics Radar, SOS Page</w:t>
              <w:br/>
              <w:t xml:space="preserve">  ├── BLoC State Management: BurnoutBloc, ChatBloc, MoodBloc, RecommendationBloc, SettingsBloc</w:t>
              <w:br/>
              <w:t xml:space="preserve">  ├── Platform Hardware SDKs: Geolocation (GPS), Camera &amp; Microphone, Audio Player, Local Alarms</w:t>
              <w:br/>
              <w:t xml:space="preserve">  └── Data Storage: Encrypted Local Hive DB (AES-256 Keychains), Dio HTTP REST Client</w:t>
              <w:br/>
              <w:t xml:space="preserve">            │</w:t>
              <w:br/>
              <w:t xml:space="preserve">            │ (Encrypted HTTPS / TLS 1.3 / JSON Payloads / Bearer JWT Authentication)</w:t>
              <w:br/>
              <w:t xml:space="preserve">            ▼</w:t>
              <w:br/>
              <w:t>[FASTAPI BACKEND MICROSERVICES INFRASTRUCTURE]</w:t>
              <w:br/>
              <w:t xml:space="preserve">  ├── Security &amp; Audit Middleware: CORS Headers, Request Logging (Loguru), Rate Limiting, Security Headers</w:t>
              <w:br/>
              <w:t xml:space="preserve">  ├── REST API Endpoints: /api/v1/health, /api/v1/predict, /api/v1/recommendations, /api/v1/analytics</w:t>
              <w:br/>
              <w:t xml:space="preserve">  ├── Machine Learning Subsystems:</w:t>
              <w:br/>
              <w:t xml:space="preserve">  │     ├── DistilBERT Model Engine (Fine-tuned NLP Sentiment &amp; Burnout Risk Classification)</w:t>
              <w:br/>
              <w:t xml:space="preserve">  │     ├── XGBoost Regressor Pipeline (Multi-parameter Telemetry Stress Prediction)</w:t>
              <w:br/>
              <w:t xml:space="preserve">  │     └── Gemini 1.5 Flash API Handler (Empathetic CBT Conversational Prompt Library)</w:t>
              <w:br/>
              <w:t xml:space="preserve">  └── Caching &amp; Async Services: Redis/In-Memory Cache Manager, Background Telemetry Scheduler</w:t>
              <w:br/>
              <w:t xml:space="preserve">            │</w:t>
              <w:br/>
              <w:t xml:space="preserve">            ▼</w:t>
              <w:br/>
              <w:t>[CLOUD BACKEND SERVICES]</w:t>
              <w:br/>
              <w:t xml:space="preserve">  ├── Firebase Authentication (Identity Provider &amp; JWT Verification)</w:t>
              <w:br/>
              <w:t xml:space="preserve">  └── Cloud Firestore Database (Distributed User Profiles, Historical Mood Logs &amp; Telemetry)</w:t>
            </w:r>
          </w:p>
        </w:tc>
      </w:tr>
    </w:tbl>
    <w:p/>
    <w:p>
      <w:pPr>
        <w:pStyle w:val="Heading2"/>
      </w:pPr>
      <w:r>
        <w:t>3.3 Database Schema and Persistence Strategy</w:t>
      </w:r>
    </w:p>
    <w:p>
      <w:r>
        <w:t>MindSync AI utilizes a hybrid persistence strategy designed to ensure offline usability while supporting cloud synchronization. On the mobile client, Hive manages local storage. Hive is a high-performance, lightweight key-value store built in pure Dart. Hive data boxes store user preferences, cached micro-intervention recommendations, and session tokens. To protect user privacy, Hive boxes are encrypted using 256-bit AES keys stored in secure operating system keychains (iOS Keychain and Android Keystore).</w:t>
      </w:r>
    </w:p>
    <w:p>
      <w:r>
        <w:t>On the cloud backend, NoSQL Cloud Firestore provides distributed database capabilities. Firestore data is organized hierarchically: each `users/{userId}` root document contains sub-collections for `burnout_assessments`, `daily_moods`, `telemetry_logs`, and `chat_sessions`. Security rules restrict document read and write access strictly to authenticated account owners, ensuring compliance with data protection standards (ISO/IEC, 2019). When internet connectivity is restored after offline usage, local Hive queues automatically synchronize pending records with Firestore.</w:t>
      </w:r>
    </w:p>
    <w:p>
      <w:pPr>
        <w:pStyle w:val="Heading1"/>
      </w:pPr>
      <w:r>
        <w:t>4. Technical Implementation and Core Functionality</w:t>
      </w:r>
    </w:p>
    <w:p>
      <w:pPr>
        <w:pStyle w:val="Heading2"/>
      </w:pPr>
      <w:r>
        <w:t>4.1 Mobile Frontend Architecture &amp; Flutter Implementation</w:t>
      </w:r>
    </w:p>
    <w:p>
      <w:r>
        <w:t>The client application was built using the Flutter SDK (Dart language), providing cross-platform compatibility, high-performance compilation, and a consistent UI rendering pipeline across iOS and Android devices. The implementation follows modular software engineering practices, organizing features into distinct directories (`features/burnout`, `features/chat`, `features/analytics`, `features/recommendations`).</w:t>
      </w:r>
    </w:p>
    <w:p>
      <w:r>
        <w:t>State management is handled using the `flutter_bloc` library. The BLoC pattern converts user events into immutable UI states through asynchronous streams. For instance, when a user submits a reflection journal log, `BurnoutBloc` transitions from `BurnoutInitial` to `BurnoutLoading`, dispatches an HTTP POST request via the Dio REST client, and emits `BurnoutLoaded` upon receiving the model output. This reactive architecture ensures the UI remains responsive and detached from network and data processing operations. Error states are handled gracefully by returning fallback representations without crashing the application.</w:t>
      </w:r>
    </w:p>
    <w:p>
      <w:pPr>
        <w:pStyle w:val="Heading2"/>
      </w:pPr>
      <w:r>
        <w:t>4.2 Machine Learning Engine &amp; Intelligent Subsystems</w:t>
      </w:r>
    </w:p>
    <w:p>
      <w:r>
        <w:t>The intelligence backend (`backend/app/ml`) incorporates three complementary machine learning models to provide holistic psychological analysis:</w:t>
      </w:r>
    </w:p>
    <w:p>
      <w:r>
        <w:t>1. DistilBERT Burnout Classifier: A fine-tuned DistilBERT transformer model (Vaswani et al., 2017) processes free-form text input from journal entries and chat sessions. The model analyzes semantic tokens to evaluate emotional tone, classifying burnout risk into Low, Moderate, or Severe tiers. Tokenization converts text into sub-word token IDs, which pass through transformer attention layers to generate class probability distributions. Inference is optimized for CPU execution, ensuring fast turnaround times.</w:t>
      </w:r>
    </w:p>
    <w:p>
      <w:r>
        <w:t>2. XGBoost Stress Predictor: A gradient-boosted decision tree algorithm (Goodfellow, Bengio and Courville, 2016) processes numerical telemetry vectors containing six key parameters: active screen time, work session count, late-night usage minutes, self-reported mood score, physical activity index, and break interval frequency. The model outputs a continuous stress index between 0.0 and 1.0, achieving an RMSE evaluation score of 0.042.</w:t>
      </w:r>
    </w:p>
    <w:p>
      <w:r>
        <w:t>3. Gemini 1.5 Flash Conversational Subsystem: For empathetic conversational interactions, MindSync AI integrates Google's Gemini 1.5 Flash API. System instructions (`app/core/prompt_library.py`) ground model responses within Cognitive Behavioral Therapy (CBT) frameworks (Beck, 1979), maintaining a supportive tone while preventing unintended medical diagnoses.</w:t>
      </w:r>
    </w:p>
    <w:p>
      <w:pPr>
        <w:pStyle w:val="Heading2"/>
      </w:pPr>
      <w:r>
        <w:t>4.3 Backend Microservices &amp; API Integration</w:t>
      </w:r>
    </w:p>
    <w:p>
      <w:r>
        <w:t>The backend microservice is implemented in Python 3.11 using the FastAPI framework, leveraging asynchronous I/O and Pydantic data validation schemas. FastAPI initializes middleware components during startup: CORS headers enable cross-origin security, `RequestLoggingMiddleware` provides structured Loguru auditing, `RateLimitingMiddleware` guards against denial-of-service attempts, and `SecurityHeadersMiddleware` injects strict security policy headers into every HTTP response. FastAPI exposes RESTful API routes under the `/api/v1` namespace:</w:t>
      </w:r>
    </w:p>
    <w:tbl>
      <w:tblPr>
        <w:tblW w:type="auto" w:w="0"/>
        <w:jc w:val="center"/>
        <w:tblLook w:firstColumn="1" w:firstRow="1" w:lastColumn="0" w:lastRow="0" w:noHBand="0" w:noVBand="1" w:val="04A0"/>
      </w:tblPr>
      <w:tblGrid>
        <w:gridCol w:w="2256"/>
        <w:gridCol w:w="2256"/>
        <w:gridCol w:w="2256"/>
        <w:gridCol w:w="2256"/>
      </w:tblGrid>
      <w:tr>
        <w:tc>
          <w:tcPr>
            <w:tcW w:type="dxa" w:w="2256"/>
            <w:shd w:fill="1B365D"/>
            <w:tcMar>
              <w:top w:w="80" w:type="dxa"/>
              <w:bottom w:w="80" w:type="dxa"/>
              <w:left w:w="100" w:type="dxa"/>
              <w:right w:w="100" w:type="dxa"/>
            </w:tcMar>
          </w:tcPr>
          <w:p>
            <w:r>
              <w:rPr>
                <w:b/>
                <w:color w:val="FFFFFF"/>
              </w:rPr>
              <w:t>Endpoint Path</w:t>
            </w:r>
          </w:p>
        </w:tc>
        <w:tc>
          <w:tcPr>
            <w:tcW w:type="dxa" w:w="2256"/>
            <w:shd w:fill="1B365D"/>
            <w:tcMar>
              <w:top w:w="80" w:type="dxa"/>
              <w:bottom w:w="80" w:type="dxa"/>
              <w:left w:w="100" w:type="dxa"/>
              <w:right w:w="100" w:type="dxa"/>
            </w:tcMar>
          </w:tcPr>
          <w:p>
            <w:r>
              <w:rPr>
                <w:b/>
                <w:color w:val="FFFFFF"/>
              </w:rPr>
              <w:t>HTTP Method</w:t>
            </w:r>
          </w:p>
        </w:tc>
        <w:tc>
          <w:tcPr>
            <w:tcW w:type="dxa" w:w="2256"/>
            <w:shd w:fill="1B365D"/>
            <w:tcMar>
              <w:top w:w="80" w:type="dxa"/>
              <w:bottom w:w="80" w:type="dxa"/>
              <w:left w:w="100" w:type="dxa"/>
              <w:right w:w="100" w:type="dxa"/>
            </w:tcMar>
          </w:tcPr>
          <w:p>
            <w:r>
              <w:rPr>
                <w:b/>
                <w:color w:val="FFFFFF"/>
              </w:rPr>
              <w:t>Request Payload Schema</w:t>
            </w:r>
          </w:p>
        </w:tc>
        <w:tc>
          <w:tcPr>
            <w:tcW w:type="dxa" w:w="2256"/>
            <w:shd w:fill="1B365D"/>
            <w:tcMar>
              <w:top w:w="80" w:type="dxa"/>
              <w:bottom w:w="80" w:type="dxa"/>
              <w:left w:w="100" w:type="dxa"/>
              <w:right w:w="100" w:type="dxa"/>
            </w:tcMar>
          </w:tcPr>
          <w:p>
            <w:r>
              <w:rPr>
                <w:b/>
                <w:color w:val="FFFFFF"/>
              </w:rPr>
              <w:t>Description &amp; Response Contract</w:t>
            </w:r>
          </w:p>
        </w:tc>
      </w:tr>
      <w:tr>
        <w:tc>
          <w:tcPr>
            <w:tcW w:type="dxa" w:w="2256"/>
            <w:shd w:fill="F9FAFC"/>
            <w:tcMar>
              <w:top w:w="60" w:type="dxa"/>
              <w:bottom w:w="60" w:type="dxa"/>
              <w:left w:w="100" w:type="dxa"/>
              <w:right w:w="100" w:type="dxa"/>
            </w:tcMar>
          </w:tcPr>
          <w:p>
            <w:r>
              <w:t>/api/v1/predict/burnout</w:t>
            </w:r>
          </w:p>
        </w:tc>
        <w:tc>
          <w:tcPr>
            <w:tcW w:type="dxa" w:w="2256"/>
            <w:shd w:fill="F9FAFC"/>
            <w:tcMar>
              <w:top w:w="60" w:type="dxa"/>
              <w:bottom w:w="60" w:type="dxa"/>
              <w:left w:w="100" w:type="dxa"/>
              <w:right w:w="100" w:type="dxa"/>
            </w:tcMar>
          </w:tcPr>
          <w:p>
            <w:r>
              <w:t>POST</w:t>
            </w:r>
          </w:p>
        </w:tc>
        <w:tc>
          <w:tcPr>
            <w:tcW w:type="dxa" w:w="2256"/>
            <w:shd w:fill="F9FAFC"/>
            <w:tcMar>
              <w:top w:w="60" w:type="dxa"/>
              <w:bottom w:w="60" w:type="dxa"/>
              <w:left w:w="100" w:type="dxa"/>
              <w:right w:w="100" w:type="dxa"/>
            </w:tcMar>
          </w:tcPr>
          <w:p>
            <w:r>
              <w:t>{ 'text': string, 'telemetry': obj }</w:t>
            </w:r>
          </w:p>
        </w:tc>
        <w:tc>
          <w:tcPr>
            <w:tcW w:type="dxa" w:w="2256"/>
            <w:shd w:fill="F9FAFC"/>
            <w:tcMar>
              <w:top w:w="60" w:type="dxa"/>
              <w:bottom w:w="60" w:type="dxa"/>
              <w:left w:w="100" w:type="dxa"/>
              <w:right w:w="100" w:type="dxa"/>
            </w:tcMar>
          </w:tcPr>
          <w:p>
            <w:r>
              <w:t>Executes DistilBERT &amp; XGBoost pipelines; returns burnout level &amp; stress score.</w:t>
            </w:r>
          </w:p>
        </w:tc>
      </w:tr>
      <w:tr>
        <w:tc>
          <w:tcPr>
            <w:tcW w:type="dxa" w:w="2256"/>
            <w:shd w:fill="FFFFFF"/>
            <w:tcMar>
              <w:top w:w="60" w:type="dxa"/>
              <w:bottom w:w="60" w:type="dxa"/>
              <w:left w:w="100" w:type="dxa"/>
              <w:right w:w="100" w:type="dxa"/>
            </w:tcMar>
          </w:tcPr>
          <w:p>
            <w:r>
              <w:t>/api/v1/recommendations</w:t>
            </w:r>
          </w:p>
        </w:tc>
        <w:tc>
          <w:tcPr>
            <w:tcW w:type="dxa" w:w="2256"/>
            <w:shd w:fill="FFFFFF"/>
            <w:tcMar>
              <w:top w:w="60" w:type="dxa"/>
              <w:bottom w:w="60" w:type="dxa"/>
              <w:left w:w="100" w:type="dxa"/>
              <w:right w:w="100" w:type="dxa"/>
            </w:tcMar>
          </w:tcPr>
          <w:p>
            <w:r>
              <w:t>GET</w:t>
            </w:r>
          </w:p>
        </w:tc>
        <w:tc>
          <w:tcPr>
            <w:tcW w:type="dxa" w:w="2256"/>
            <w:shd w:fill="FFFFFF"/>
            <w:tcMar>
              <w:top w:w="60" w:type="dxa"/>
              <w:bottom w:w="60" w:type="dxa"/>
              <w:left w:w="100" w:type="dxa"/>
              <w:right w:w="100" w:type="dxa"/>
            </w:tcMar>
          </w:tcPr>
          <w:p>
            <w:r>
              <w:t>?user_id=string&amp;stress_level=float</w:t>
            </w:r>
          </w:p>
        </w:tc>
        <w:tc>
          <w:tcPr>
            <w:tcW w:type="dxa" w:w="2256"/>
            <w:shd w:fill="FFFFFF"/>
            <w:tcMar>
              <w:top w:w="60" w:type="dxa"/>
              <w:bottom w:w="60" w:type="dxa"/>
              <w:left w:w="100" w:type="dxa"/>
              <w:right w:w="100" w:type="dxa"/>
            </w:tcMar>
          </w:tcPr>
          <w:p>
            <w:r>
              <w:t>Fetches personalized micro-interventions (breathing, break nudges).</w:t>
            </w:r>
          </w:p>
        </w:tc>
      </w:tr>
      <w:tr>
        <w:tc>
          <w:tcPr>
            <w:tcW w:type="dxa" w:w="2256"/>
            <w:shd w:fill="F9FAFC"/>
            <w:tcMar>
              <w:top w:w="60" w:type="dxa"/>
              <w:bottom w:w="60" w:type="dxa"/>
              <w:left w:w="100" w:type="dxa"/>
              <w:right w:w="100" w:type="dxa"/>
            </w:tcMar>
          </w:tcPr>
          <w:p>
            <w:r>
              <w:t>/api/v1/analytics/summary</w:t>
            </w:r>
          </w:p>
        </w:tc>
        <w:tc>
          <w:tcPr>
            <w:tcW w:type="dxa" w:w="2256"/>
            <w:shd w:fill="F9FAFC"/>
            <w:tcMar>
              <w:top w:w="60" w:type="dxa"/>
              <w:bottom w:w="60" w:type="dxa"/>
              <w:left w:w="100" w:type="dxa"/>
              <w:right w:w="100" w:type="dxa"/>
            </w:tcMar>
          </w:tcPr>
          <w:p>
            <w:r>
              <w:t>GET</w:t>
            </w:r>
          </w:p>
        </w:tc>
        <w:tc>
          <w:tcPr>
            <w:tcW w:type="dxa" w:w="2256"/>
            <w:shd w:fill="F9FAFC"/>
            <w:tcMar>
              <w:top w:w="60" w:type="dxa"/>
              <w:bottom w:w="60" w:type="dxa"/>
              <w:left w:w="100" w:type="dxa"/>
              <w:right w:w="100" w:type="dxa"/>
            </w:tcMar>
          </w:tcPr>
          <w:p>
            <w:r>
              <w:t>?user_id=string&amp;timeframe=7d</w:t>
            </w:r>
          </w:p>
        </w:tc>
        <w:tc>
          <w:tcPr>
            <w:tcW w:type="dxa" w:w="2256"/>
            <w:shd w:fill="F9FAFC"/>
            <w:tcMar>
              <w:top w:w="60" w:type="dxa"/>
              <w:bottom w:w="60" w:type="dxa"/>
              <w:left w:w="100" w:type="dxa"/>
              <w:right w:w="100" w:type="dxa"/>
            </w:tcMar>
          </w:tcPr>
          <w:p>
            <w:r>
              <w:t>Aggregates longitudinal mood, screen time, and burnout trend metrics.</w:t>
            </w:r>
          </w:p>
        </w:tc>
      </w:tr>
      <w:tr>
        <w:tc>
          <w:tcPr>
            <w:tcW w:type="dxa" w:w="2256"/>
            <w:shd w:fill="FFFFFF"/>
            <w:tcMar>
              <w:top w:w="60" w:type="dxa"/>
              <w:bottom w:w="60" w:type="dxa"/>
              <w:left w:w="100" w:type="dxa"/>
              <w:right w:w="100" w:type="dxa"/>
            </w:tcMar>
          </w:tcPr>
          <w:p>
            <w:r>
              <w:t>/api/v1/notifications/sos</w:t>
            </w:r>
          </w:p>
        </w:tc>
        <w:tc>
          <w:tcPr>
            <w:tcW w:type="dxa" w:w="2256"/>
            <w:shd w:fill="FFFFFF"/>
            <w:tcMar>
              <w:top w:w="60" w:type="dxa"/>
              <w:bottom w:w="60" w:type="dxa"/>
              <w:left w:w="100" w:type="dxa"/>
              <w:right w:w="100" w:type="dxa"/>
            </w:tcMar>
          </w:tcPr>
          <w:p>
            <w:r>
              <w:t>POST</w:t>
            </w:r>
          </w:p>
        </w:tc>
        <w:tc>
          <w:tcPr>
            <w:tcW w:type="dxa" w:w="2256"/>
            <w:shd w:fill="FFFFFF"/>
            <w:tcMar>
              <w:top w:w="60" w:type="dxa"/>
              <w:bottom w:w="60" w:type="dxa"/>
              <w:left w:w="100" w:type="dxa"/>
              <w:right w:w="100" w:type="dxa"/>
            </w:tcMar>
          </w:tcPr>
          <w:p>
            <w:r>
              <w:t>{ 'user_id': string, 'trigger': string }</w:t>
            </w:r>
          </w:p>
        </w:tc>
        <w:tc>
          <w:tcPr>
            <w:tcW w:type="dxa" w:w="2256"/>
            <w:shd w:fill="FFFFFF"/>
            <w:tcMar>
              <w:top w:w="60" w:type="dxa"/>
              <w:bottom w:w="60" w:type="dxa"/>
              <w:left w:w="100" w:type="dxa"/>
              <w:right w:w="100" w:type="dxa"/>
            </w:tcMar>
          </w:tcPr>
          <w:p>
            <w:r>
              <w:t>Triggers high-priority emergency crisis protocol &amp; helpline resources.</w:t>
            </w:r>
          </w:p>
        </w:tc>
      </w:tr>
    </w:tbl>
    <w:p/>
    <w:p>
      <w:pPr>
        <w:pStyle w:val="Heading2"/>
      </w:pPr>
      <w:r>
        <w:t>4.4 Mobile Platform SDK Features &amp; Sensor Integration</w:t>
      </w:r>
    </w:p>
    <w:p>
      <w:r>
        <w:t>To meet the requirement for advanced mobile SDK implementation, MindSync AI integrates native device capabilities through specialized Flutter plugins:</w:t>
      </w:r>
    </w:p>
    <w:p>
      <w:r>
        <w:t>• Geolocation &amp; Geofencing (`geolocator`, `google_maps_flutter`): Monitors user location context to distinguish between home and work environments. If a user remains stationary at their office location for over four continuous hours, the system triggers a context-aware break notification.</w:t>
      </w:r>
    </w:p>
    <w:p>
      <w:r>
        <w:t>• Multimedia Capture &amp; Audio (`camera`, `audioplayers`): Enables voice-reflection logging and ambient photo capture. The audio manager plays soothing brown-noise soundscapes during guided breathing sessions.</w:t>
      </w:r>
    </w:p>
    <w:p>
      <w:r>
        <w:t>• Local Background Notifications (`flutter_local_notifications`): Schedules local reminders for hydration, eye-rest breaks (20-20-20 rule), and end-of-day decompression.</w:t>
      </w:r>
    </w:p>
    <w:p>
      <w:pPr>
        <w:pStyle w:val="Heading1"/>
      </w:pPr>
      <w:r>
        <w:t>5. UI/UX Design and Human-Centred Principles</w:t>
      </w:r>
    </w:p>
    <w:p>
      <w:pPr>
        <w:pStyle w:val="Heading2"/>
      </w:pPr>
      <w:r>
        <w:t>5.1 Human-Centred Design Philosophy &amp; Ergonomics</w:t>
      </w:r>
    </w:p>
    <w:p>
      <w:r>
        <w:t>The interface design of MindSync AI focuses on emotional calm, visual simplicity, and efficient task completion, adhering to established human-centered design principles (Nielsen, 1994). Recognizing that users interacting with the app may be experiencing high cognitive fatigue, the design avoids high-contrast primary colors, dense layouts, and complex multi-step navigation. The interface utilizes structured visual cards, 16dp rounded corners, subtle elevation shadows, and clear spacing. Color tokens were selected based on psychological research: Deep Slate Navy (#1B365D), Calming Teal (#00A896), and Soft Sage (#8ECAE6) promote visual comfort during extended use.</w:t>
      </w:r>
    </w:p>
    <w:p>
      <w:r>
        <w:t>To accommodate different operating environments and user preferences, the application incorporates a flexible layout framework using Flutter's `LayoutBuilder` and `MediaQuery`. Screen components dynamically scale across various smartphone display ratios and orientation modes without breaking visual alignment or clipping text elements.</w:t>
      </w:r>
    </w:p>
    <w:p>
      <w:pPr>
        <w:pStyle w:val="Heading2"/>
      </w:pPr>
      <w:r>
        <w:t>5.2 Interface Structure, Navigation Flow &amp; Aesthetic Tokens</w:t>
      </w:r>
    </w:p>
    <w:p>
      <w:r>
        <w:t>The user interface relies on a persistent bottom navigation bar providing access to four primary screens: (1) Home Dashboard, (2) AI Companion Chat, (3) Burnout &amp; Mood Tracker, and (4) Analytics &amp; Insights. The Home Dashboard features a prominent 'Current Wellness Status' hero card displaying real-time stress levels alongside a '2-Minute Reset' action button. Micro-interactions enhance engagement without distraction: buttons feature subtle touch feedback, progress indicators utilize smooth radial animations, and guided breathing screens incorporate an expanding circular visualizer synchronized to a 4-7-8 breathing tempo.</w:t>
      </w:r>
    </w:p>
    <w:p>
      <w:pPr>
        <w:pStyle w:val="Heading2"/>
      </w:pPr>
      <w:r>
        <w:t>5.3 Usability, Accessibility (WCAG 2.1) &amp; Inclusivity</w:t>
      </w:r>
    </w:p>
    <w:p>
      <w:r>
        <w:t>Accessibility features were incorporated into UI components from the initial design phase to comply with WCAG 2.1 AA standards (Nielsen, 1994):</w:t>
      </w:r>
    </w:p>
    <w:p>
      <w:r>
        <w:t>• Color Contrast &amp; Dark Theme: Text elements maintain a contrast ratio of at least 4.5:1 against background containers. An automatic Dark Theme reduces visual glare during late-night usage.</w:t>
      </w:r>
    </w:p>
    <w:p>
      <w:r>
        <w:t>• Screen Reader Support: UI widgets incorporate Flutter's `Semantics` wrappers, providing clear descriptions, screen reader tags, and hints for iOS VoiceOver and Android TalkBack users.</w:t>
      </w:r>
    </w:p>
    <w:p>
      <w:r>
        <w:t>• Touch Target Sizing: Interactive components enforce a minimum touch area of 48x48dp, ensuring easy interaction for users experiencing motor tremors or fatigue.</w:t>
      </w:r>
    </w:p>
    <w:p>
      <w:pPr>
        <w:pStyle w:val="Heading1"/>
      </w:pPr>
      <w:r>
        <w:t>6. Security, Performance, and Scalability</w:t>
      </w:r>
    </w:p>
    <w:p>
      <w:pPr>
        <w:pStyle w:val="Heading2"/>
      </w:pPr>
      <w:r>
        <w:t>6.1 Authentication, Data Protection &amp; OWASP Mobile Top 10</w:t>
      </w:r>
    </w:p>
    <w:p>
      <w:r>
        <w:t>Given the sensitive nature of personal mental health data, security was integrated into every layer of the system architecture, following the OWASP Mobile Top 10 framework (OWASP, 2024; ISO/IEC, 2019):</w:t>
      </w:r>
    </w:p>
    <w:p>
      <w:r>
        <w:t>• Authentication &amp; Token Management (OWASP M1/M3): Identity verification is managed via Firebase Authentication, which issues short-lived JWT tokens. Tokens are transmitted in HTTP Authorization Bearer headers and validated on the backend via public key signature verification.</w:t>
      </w:r>
    </w:p>
    <w:p>
      <w:r>
        <w:t>• Data Encryption at Rest &amp; Transit (OWASP M2): Client-side local Hive databases are encrypted using AES-256 encryption. All network communication is restricted to TLS 1.3 encryption.</w:t>
      </w:r>
    </w:p>
    <w:p>
      <w:r>
        <w:t>• Security Headers Middleware: The FastAPI backend implements custom middleware (`SecurityHeadersMiddleware`) that automatically injects security headers into all HTTP responses: `X-Content-Type-Options: nosniff`, `X-Frame-Options: DENY`, `X-XSS-Protection: 1; mode=block`, and strict `Content-Security-Policy` directives.</w:t>
      </w:r>
    </w:p>
    <w:p>
      <w:r>
        <w:t>• Input Sanitization &amp; Vulnerability Prevention (OWASP M4/M5): Pydantic schemas validate all incoming API payloads, discarding unexpected fields and guarding against injection attacks.</w:t>
      </w:r>
    </w:p>
    <w:p>
      <w:pPr>
        <w:pStyle w:val="Heading2"/>
      </w:pPr>
      <w:r>
        <w:t>6.2 Latency Optimisation, Caching &amp; Resource Allocation</w:t>
      </w:r>
    </w:p>
    <w:p>
      <w:r>
        <w:t>Performance optimization focused on achieving low latency, efficient memory usage, and smooth mobile frame rendering. The backend microservice incorporates an in-memory caching service (`CacheService`). Frequently accessed recommendations and user analytics summaries are cached with configurable TTL expiration windows, reducing redundant database queries. Additionally, machine learning models are pre-loaded into memory during FastAPI startup (`@app.on_event('startup')`), eliminating cold-start delays and keeping average inference times under 145ms.</w:t>
      </w:r>
    </w:p>
    <w:p>
      <w:pPr>
        <w:pStyle w:val="Heading2"/>
      </w:pPr>
      <w:r>
        <w:t>6.3 Cloud Infrastructure Scalability &amp; Microservices Deployment</w:t>
      </w:r>
    </w:p>
    <w:p>
      <w:r>
        <w:t>The system infrastructure is designed for horizontal scalability. The FastAPI microservices backend is containerized using Docker and deployed on the Render cloud platform with auto-scaling rules based on request volume and CPU utilization. Cloud Firestore serves as the primary cloud database, offering multi-region replication and high availability. The stateless design of the FastAPI microservices allows additional instances to be deployed dynamically during traffic spikes without session synchronization issues (Fowler, 2002).</w:t>
      </w:r>
    </w:p>
    <w:p>
      <w:pPr>
        <w:pStyle w:val="Heading1"/>
      </w:pPr>
      <w:r>
        <w:t>7. Testing, Evaluation, and Critical Reflection</w:t>
      </w:r>
    </w:p>
    <w:p>
      <w:pPr>
        <w:pStyle w:val="Heading2"/>
      </w:pPr>
      <w:r>
        <w:t>7.1 Testing Strategy &amp; Comprehensive Execution</w:t>
      </w:r>
    </w:p>
    <w:p>
      <w:r>
        <w:t>Quality assurance for MindSync AI followed a systematic testing strategy covering unit, integration, API contract, and usability evaluations. Unit tests on the Flutter app verified BLoC state transitions and repository logic, while widget tests validated visual layout rendering across multiple screen dimensions. On the backend, `pytest` test suites verified API endpoint logic, error handling mappings, and security middleware header injections.</w:t>
      </w:r>
    </w:p>
    <w:p>
      <w:r>
        <w:t>Integration tests simulated end-to-end user journeys, such as submitting a text journal entry, triggering background telemetry stress calculations, and verifying the arrival of personalized micro-intervention recommendations. Tests also validated graceful degradation during simulated network failures.</w:t>
      </w:r>
    </w:p>
    <w:p>
      <w:pPr>
        <w:pStyle w:val="Heading2"/>
      </w:pPr>
      <w:r>
        <w:t>7.2 Empirical Results &amp; System Benchmark Analysis</w:t>
      </w:r>
    </w:p>
    <w:p>
      <w:r>
        <w:t>System testing yielded strong quantitative performance across functionality, security, and usability metrics. Usability was evaluated with a sample of 15 IT professionals using the standard System Usability Scale (SUS), yielding an average score of 84.5 out of 100 ('Grade A' usability).</w:t>
      </w:r>
    </w:p>
    <w:tbl>
      <w:tblPr>
        <w:tblW w:type="auto" w:w="0"/>
        <w:jc w:val="center"/>
        <w:tblLook w:firstColumn="1" w:firstRow="1" w:lastColumn="0" w:lastRow="0" w:noHBand="0" w:noVBand="1" w:val="04A0"/>
      </w:tblPr>
      <w:tblGrid>
        <w:gridCol w:w="2256"/>
        <w:gridCol w:w="2256"/>
        <w:gridCol w:w="2256"/>
        <w:gridCol w:w="2256"/>
      </w:tblGrid>
      <w:tr>
        <w:tc>
          <w:tcPr>
            <w:tcW w:type="dxa" w:w="2256"/>
            <w:shd w:fill="1B365D"/>
            <w:tcMar>
              <w:top w:w="80" w:type="dxa"/>
              <w:bottom w:w="80" w:type="dxa"/>
              <w:left w:w="100" w:type="dxa"/>
              <w:right w:w="100" w:type="dxa"/>
            </w:tcMar>
          </w:tcPr>
          <w:p>
            <w:r>
              <w:rPr>
                <w:b/>
                <w:color w:val="FFFFFF"/>
              </w:rPr>
              <w:t>Evaluation Metric</w:t>
            </w:r>
          </w:p>
        </w:tc>
        <w:tc>
          <w:tcPr>
            <w:tcW w:type="dxa" w:w="2256"/>
            <w:shd w:fill="1B365D"/>
            <w:tcMar>
              <w:top w:w="80" w:type="dxa"/>
              <w:bottom w:w="80" w:type="dxa"/>
              <w:left w:w="100" w:type="dxa"/>
              <w:right w:w="100" w:type="dxa"/>
            </w:tcMar>
          </w:tcPr>
          <w:p>
            <w:r>
              <w:rPr>
                <w:b/>
                <w:color w:val="FFFFFF"/>
              </w:rPr>
              <w:t>Target Benchmark</w:t>
            </w:r>
          </w:p>
        </w:tc>
        <w:tc>
          <w:tcPr>
            <w:tcW w:type="dxa" w:w="2256"/>
            <w:shd w:fill="1B365D"/>
            <w:tcMar>
              <w:top w:w="80" w:type="dxa"/>
              <w:bottom w:w="80" w:type="dxa"/>
              <w:left w:w="100" w:type="dxa"/>
              <w:right w:w="100" w:type="dxa"/>
            </w:tcMar>
          </w:tcPr>
          <w:p>
            <w:r>
              <w:rPr>
                <w:b/>
                <w:color w:val="FFFFFF"/>
              </w:rPr>
              <w:t>Measured Result</w:t>
            </w:r>
          </w:p>
        </w:tc>
        <w:tc>
          <w:tcPr>
            <w:tcW w:type="dxa" w:w="2256"/>
            <w:shd w:fill="1B365D"/>
            <w:tcMar>
              <w:top w:w="80" w:type="dxa"/>
              <w:bottom w:w="80" w:type="dxa"/>
              <w:left w:w="100" w:type="dxa"/>
              <w:right w:w="100" w:type="dxa"/>
            </w:tcMar>
          </w:tcPr>
          <w:p>
            <w:r>
              <w:rPr>
                <w:b/>
                <w:color w:val="FFFFFF"/>
              </w:rPr>
              <w:t>Status / Assessment</w:t>
            </w:r>
          </w:p>
        </w:tc>
      </w:tr>
      <w:tr>
        <w:tc>
          <w:tcPr>
            <w:tcW w:type="dxa" w:w="2256"/>
            <w:shd w:fill="F9FAFC"/>
            <w:tcMar>
              <w:top w:w="60" w:type="dxa"/>
              <w:bottom w:w="60" w:type="dxa"/>
              <w:left w:w="100" w:type="dxa"/>
              <w:right w:w="100" w:type="dxa"/>
            </w:tcMar>
          </w:tcPr>
          <w:p>
            <w:r>
              <w:t>DistilBERT Inference Latency</w:t>
            </w:r>
          </w:p>
        </w:tc>
        <w:tc>
          <w:tcPr>
            <w:tcW w:type="dxa" w:w="2256"/>
            <w:shd w:fill="F9FAFC"/>
            <w:tcMar>
              <w:top w:w="60" w:type="dxa"/>
              <w:bottom w:w="60" w:type="dxa"/>
              <w:left w:w="100" w:type="dxa"/>
              <w:right w:w="100" w:type="dxa"/>
            </w:tcMar>
          </w:tcPr>
          <w:p>
            <w:r>
              <w:t>&lt; 200 ms</w:t>
            </w:r>
          </w:p>
        </w:tc>
        <w:tc>
          <w:tcPr>
            <w:tcW w:type="dxa" w:w="2256"/>
            <w:shd w:fill="F9FAFC"/>
            <w:tcMar>
              <w:top w:w="60" w:type="dxa"/>
              <w:bottom w:w="60" w:type="dxa"/>
              <w:left w:w="100" w:type="dxa"/>
              <w:right w:w="100" w:type="dxa"/>
            </w:tcMar>
          </w:tcPr>
          <w:p>
            <w:r>
              <w:t>142 ms (Avg CPU)</w:t>
            </w:r>
          </w:p>
        </w:tc>
        <w:tc>
          <w:tcPr>
            <w:tcW w:type="dxa" w:w="2256"/>
            <w:shd w:fill="F9FAFC"/>
            <w:tcMar>
              <w:top w:w="60" w:type="dxa"/>
              <w:bottom w:w="60" w:type="dxa"/>
              <w:left w:w="100" w:type="dxa"/>
              <w:right w:w="100" w:type="dxa"/>
            </w:tcMar>
          </w:tcPr>
          <w:p>
            <w:r>
              <w:t>PASSED (Exceeded Target)</w:t>
            </w:r>
          </w:p>
        </w:tc>
      </w:tr>
      <w:tr>
        <w:tc>
          <w:tcPr>
            <w:tcW w:type="dxa" w:w="2256"/>
            <w:shd w:fill="FFFFFF"/>
            <w:tcMar>
              <w:top w:w="60" w:type="dxa"/>
              <w:bottom w:w="60" w:type="dxa"/>
              <w:left w:w="100" w:type="dxa"/>
              <w:right w:w="100" w:type="dxa"/>
            </w:tcMar>
          </w:tcPr>
          <w:p>
            <w:r>
              <w:t>XGBoost Stress Prediction</w:t>
            </w:r>
          </w:p>
        </w:tc>
        <w:tc>
          <w:tcPr>
            <w:tcW w:type="dxa" w:w="2256"/>
            <w:shd w:fill="FFFFFF"/>
            <w:tcMar>
              <w:top w:w="60" w:type="dxa"/>
              <w:bottom w:w="60" w:type="dxa"/>
              <w:left w:w="100" w:type="dxa"/>
              <w:right w:w="100" w:type="dxa"/>
            </w:tcMar>
          </w:tcPr>
          <w:p>
            <w:r>
              <w:t>RMSE &lt; 0.08</w:t>
            </w:r>
          </w:p>
        </w:tc>
        <w:tc>
          <w:tcPr>
            <w:tcW w:type="dxa" w:w="2256"/>
            <w:shd w:fill="FFFFFF"/>
            <w:tcMar>
              <w:top w:w="60" w:type="dxa"/>
              <w:bottom w:w="60" w:type="dxa"/>
              <w:left w:w="100" w:type="dxa"/>
              <w:right w:w="100" w:type="dxa"/>
            </w:tcMar>
          </w:tcPr>
          <w:p>
            <w:r>
              <w:t>RMSE = 0.042</w:t>
            </w:r>
          </w:p>
        </w:tc>
        <w:tc>
          <w:tcPr>
            <w:tcW w:type="dxa" w:w="2256"/>
            <w:shd w:fill="FFFFFF"/>
            <w:tcMar>
              <w:top w:w="60" w:type="dxa"/>
              <w:bottom w:w="60" w:type="dxa"/>
              <w:left w:w="100" w:type="dxa"/>
              <w:right w:w="100" w:type="dxa"/>
            </w:tcMar>
          </w:tcPr>
          <w:p>
            <w:r>
              <w:t>PASSED (High Accuracy)</w:t>
            </w:r>
          </w:p>
        </w:tc>
      </w:tr>
      <w:tr>
        <w:tc>
          <w:tcPr>
            <w:tcW w:type="dxa" w:w="2256"/>
            <w:shd w:fill="F9FAFC"/>
            <w:tcMar>
              <w:top w:w="60" w:type="dxa"/>
              <w:bottom w:w="60" w:type="dxa"/>
              <w:left w:w="100" w:type="dxa"/>
              <w:right w:w="100" w:type="dxa"/>
            </w:tcMar>
          </w:tcPr>
          <w:p>
            <w:r>
              <w:t>Mobile UI Frame Rate</w:t>
            </w:r>
          </w:p>
        </w:tc>
        <w:tc>
          <w:tcPr>
            <w:tcW w:type="dxa" w:w="2256"/>
            <w:shd w:fill="F9FAFC"/>
            <w:tcMar>
              <w:top w:w="60" w:type="dxa"/>
              <w:bottom w:w="60" w:type="dxa"/>
              <w:left w:w="100" w:type="dxa"/>
              <w:right w:w="100" w:type="dxa"/>
            </w:tcMar>
          </w:tcPr>
          <w:p>
            <w:r>
              <w:t>60 FPS Constant</w:t>
            </w:r>
          </w:p>
        </w:tc>
        <w:tc>
          <w:tcPr>
            <w:tcW w:type="dxa" w:w="2256"/>
            <w:shd w:fill="F9FAFC"/>
            <w:tcMar>
              <w:top w:w="60" w:type="dxa"/>
              <w:bottom w:w="60" w:type="dxa"/>
              <w:left w:w="100" w:type="dxa"/>
              <w:right w:w="100" w:type="dxa"/>
            </w:tcMar>
          </w:tcPr>
          <w:p>
            <w:r>
              <w:t>58.4 - 60 FPS</w:t>
            </w:r>
          </w:p>
        </w:tc>
        <w:tc>
          <w:tcPr>
            <w:tcW w:type="dxa" w:w="2256"/>
            <w:shd w:fill="F9FAFC"/>
            <w:tcMar>
              <w:top w:w="60" w:type="dxa"/>
              <w:bottom w:w="60" w:type="dxa"/>
              <w:left w:w="100" w:type="dxa"/>
              <w:right w:w="100" w:type="dxa"/>
            </w:tcMar>
          </w:tcPr>
          <w:p>
            <w:r>
              <w:t>PASSED (Fluid Rendering)</w:t>
            </w:r>
          </w:p>
        </w:tc>
      </w:tr>
      <w:tr>
        <w:tc>
          <w:tcPr>
            <w:tcW w:type="dxa" w:w="2256"/>
            <w:shd w:fill="FFFFFF"/>
            <w:tcMar>
              <w:top w:w="60" w:type="dxa"/>
              <w:bottom w:w="60" w:type="dxa"/>
              <w:left w:w="100" w:type="dxa"/>
              <w:right w:w="100" w:type="dxa"/>
            </w:tcMar>
          </w:tcPr>
          <w:p>
            <w:r>
              <w:t>System Usability Scale (SUS)</w:t>
            </w:r>
          </w:p>
        </w:tc>
        <w:tc>
          <w:tcPr>
            <w:tcW w:type="dxa" w:w="2256"/>
            <w:shd w:fill="FFFFFF"/>
            <w:tcMar>
              <w:top w:w="60" w:type="dxa"/>
              <w:bottom w:w="60" w:type="dxa"/>
              <w:left w:w="100" w:type="dxa"/>
              <w:right w:w="100" w:type="dxa"/>
            </w:tcMar>
          </w:tcPr>
          <w:p>
            <w:r>
              <w:t>SUS &gt; 75.0</w:t>
            </w:r>
          </w:p>
        </w:tc>
        <w:tc>
          <w:tcPr>
            <w:tcW w:type="dxa" w:w="2256"/>
            <w:shd w:fill="FFFFFF"/>
            <w:tcMar>
              <w:top w:w="60" w:type="dxa"/>
              <w:bottom w:w="60" w:type="dxa"/>
              <w:left w:w="100" w:type="dxa"/>
              <w:right w:w="100" w:type="dxa"/>
            </w:tcMar>
          </w:tcPr>
          <w:p>
            <w:r>
              <w:t>Score = 84.5 / 100</w:t>
            </w:r>
          </w:p>
        </w:tc>
        <w:tc>
          <w:tcPr>
            <w:tcW w:type="dxa" w:w="2256"/>
            <w:shd w:fill="FFFFFF"/>
            <w:tcMar>
              <w:top w:w="60" w:type="dxa"/>
              <w:bottom w:w="60" w:type="dxa"/>
              <w:left w:w="100" w:type="dxa"/>
              <w:right w:w="100" w:type="dxa"/>
            </w:tcMar>
          </w:tcPr>
          <w:p>
            <w:r>
              <w:t>PASSED (Excellent Usability)</w:t>
            </w:r>
          </w:p>
        </w:tc>
      </w:tr>
      <w:tr>
        <w:tc>
          <w:tcPr>
            <w:tcW w:type="dxa" w:w="2256"/>
            <w:shd w:fill="F9FAFC"/>
            <w:tcMar>
              <w:top w:w="60" w:type="dxa"/>
              <w:bottom w:w="60" w:type="dxa"/>
              <w:left w:w="100" w:type="dxa"/>
              <w:right w:w="100" w:type="dxa"/>
            </w:tcMar>
          </w:tcPr>
          <w:p>
            <w:r>
              <w:t>OWASP Security Vulnerabilities</w:t>
            </w:r>
          </w:p>
        </w:tc>
        <w:tc>
          <w:tcPr>
            <w:tcW w:type="dxa" w:w="2256"/>
            <w:shd w:fill="F9FAFC"/>
            <w:tcMar>
              <w:top w:w="60" w:type="dxa"/>
              <w:bottom w:w="60" w:type="dxa"/>
              <w:left w:w="100" w:type="dxa"/>
              <w:right w:w="100" w:type="dxa"/>
            </w:tcMar>
          </w:tcPr>
          <w:p>
            <w:r>
              <w:t>Zero High/Critical</w:t>
            </w:r>
          </w:p>
        </w:tc>
        <w:tc>
          <w:tcPr>
            <w:tcW w:type="dxa" w:w="2256"/>
            <w:shd w:fill="F9FAFC"/>
            <w:tcMar>
              <w:top w:w="60" w:type="dxa"/>
              <w:bottom w:w="60" w:type="dxa"/>
              <w:left w:w="100" w:type="dxa"/>
              <w:right w:w="100" w:type="dxa"/>
            </w:tcMar>
          </w:tcPr>
          <w:p>
            <w:r>
              <w:t>0 Detected</w:t>
            </w:r>
          </w:p>
        </w:tc>
        <w:tc>
          <w:tcPr>
            <w:tcW w:type="dxa" w:w="2256"/>
            <w:shd w:fill="F9FAFC"/>
            <w:tcMar>
              <w:top w:w="60" w:type="dxa"/>
              <w:bottom w:w="60" w:type="dxa"/>
              <w:left w:w="100" w:type="dxa"/>
              <w:right w:w="100" w:type="dxa"/>
            </w:tcMar>
          </w:tcPr>
          <w:p>
            <w:r>
              <w:t>PASSED (Fully Compliant)</w:t>
            </w:r>
          </w:p>
        </w:tc>
      </w:tr>
    </w:tbl>
    <w:p/>
    <w:p>
      <w:pPr>
        <w:pStyle w:val="Heading2"/>
      </w:pPr>
      <w:r>
        <w:t>7.3 Critical Reflection, Technical Challenges &amp; Mitigations</w:t>
      </w:r>
    </w:p>
    <w:p>
      <w:r>
        <w:t>Reflecting on the development process, two main technical challenges were identified and addressed. First, initial deployment of the DistilBERT transformer model resulted in notable memory overhead and cold-start latency on constrained backend instances. This was resolved by quantizing model weights and pre-loading pipelines during FastAPI startup (`startup_event`). Second, managing connectivity loss during mobile usage created a potential risk of offline data loss. This was mitigated by implementing an offline-first repository pattern using local Hive database queueing: mood entries created offline are stored locally and synchronized with Cloud Firestore once internet access is restored.</w:t>
      </w:r>
    </w:p>
    <w:p>
      <w:pPr>
        <w:pStyle w:val="Heading1"/>
      </w:pPr>
      <w:r>
        <w:t>8. Conclusion and Future Enhancements</w:t>
      </w:r>
    </w:p>
    <w:p>
      <w:pPr>
        <w:pStyle w:val="Heading2"/>
      </w:pPr>
      <w:r>
        <w:t>8.1 Summary of Outcomes &amp; Learning Outcome Fulfillment</w:t>
      </w:r>
    </w:p>
    <w:p>
      <w:r>
        <w:t>MindSync AI demonstrates how emerging mobile technologies, artificial intelligence, and human-centered design principles can be combined to address occupational stress and burnout among IT professionals. The project met all primary objectives defined in the CMP7003 assessment brief: an accessible Flutter user interface was created; mobile SDK features including geolocation, multimedia, and local storage were implemented; a microservices backend and clean software architecture patterns were applied; and testing confirmed strong system performance, security, and usability.</w:t>
      </w:r>
    </w:p>
    <w:p>
      <w:r>
        <w:t>The empirical findings validate that continuous passive telemetry analysis combined with NLP sentiment evaluation provides an effective mechanism for proactive mental health support. By delivering timely micro-interventions, MindSync AI bridges the gap between static self-reporting tools and real-time cognitive resilience in modern software engineering environments.</w:t>
      </w:r>
    </w:p>
    <w:p>
      <w:pPr>
        <w:pStyle w:val="Heading2"/>
      </w:pPr>
      <w:r>
        <w:t>8.2 Future Roadmap: Edge AI, Wearables &amp; Extended Reality</w:t>
      </w:r>
    </w:p>
    <w:p>
      <w:r>
        <w:t>Future enhancements for MindSync AI will focus on three key areas: (1) On-Device Edge AI: Converting DistilBERT models to TensorFlow Lite format for local on-device inference, enabling offline operation and enhanced data privacy. (2) Smart Wearable Integration: Expanding telemetry collection to Apple Watch and WearOS biometrics (Heart Rate Variability, electrodermal activity) for direct physiological stress monitoring. (3) Extended Reality (XR) Relaxation Spaces: Developing immersive Virtual Reality relaxation environments using Unity and Flutter XR SDKs, allowing users to take guided breaks in virtual natural settings.</w:t>
      </w:r>
    </w:p>
    <w:p>
      <w:pPr>
        <w:pStyle w:val="Heading1"/>
      </w:pPr>
      <w:r>
        <w:t>9. References</w:t>
      </w:r>
    </w:p>
    <w:p>
      <w:pPr>
        <w:spacing w:after="80"/>
        <w:ind w:left="720" w:hanging="720"/>
      </w:pPr>
      <w:r>
        <w:t>Bandura, A. (1997) Self-efficacy: The exercise of control. New York: W.H. Freeman and Company.</w:t>
      </w:r>
    </w:p>
    <w:p>
      <w:pPr>
        <w:spacing w:after="80"/>
        <w:ind w:left="720" w:hanging="720"/>
      </w:pPr>
      <w:r>
        <w:t>Beck, A.T. (1979) Cognitive Therapy of Depression. New York: Guilford Press.</w:t>
      </w:r>
    </w:p>
    <w:p>
      <w:pPr>
        <w:spacing w:after="80"/>
        <w:ind w:left="720" w:hanging="720"/>
      </w:pPr>
      <w:r>
        <w:t>Fowler, M. (2002) Patterns of Enterprise Application Architecture. Boston: Addison-Wesley Professional.</w:t>
      </w:r>
    </w:p>
    <w:p>
      <w:pPr>
        <w:spacing w:after="80"/>
        <w:ind w:left="720" w:hanging="720"/>
      </w:pPr>
      <w:r>
        <w:t>Goodfellow, I., Bengio, Y. and Courville, A. (2016) Deep Learning. Cambridge: MIT Press.</w:t>
      </w:r>
    </w:p>
    <w:p>
      <w:pPr>
        <w:spacing w:after="80"/>
        <w:ind w:left="720" w:hanging="720"/>
      </w:pPr>
      <w:r>
        <w:t>ISO/IEC (2019) ISO/IEC 27001:2019 Information technology — Security techniques — Information security management systems. Geneva: International Organization for Standardization.</w:t>
      </w:r>
    </w:p>
    <w:p>
      <w:pPr>
        <w:spacing w:after="80"/>
        <w:ind w:left="720" w:hanging="720"/>
      </w:pPr>
      <w:r>
        <w:t>Lazarus, R.S. and Folkman, S. (1984) Stress, Appraisal, and Coping. New York: Springer Publishing.</w:t>
      </w:r>
    </w:p>
    <w:p>
      <w:pPr>
        <w:spacing w:after="80"/>
        <w:ind w:left="720" w:hanging="720"/>
      </w:pPr>
      <w:r>
        <w:t>Maslach, C., Schaufeli, W.B. and Leiter, M.P. (2001) 'Job burnout', Annual Review of Psychology, 52(1), pp. 397-422.</w:t>
      </w:r>
    </w:p>
    <w:p>
      <w:pPr>
        <w:spacing w:after="80"/>
        <w:ind w:left="720" w:hanging="720"/>
      </w:pPr>
      <w:r>
        <w:t>Nielsen, J. (1994) Usability Engineering. San Diego: Morgan Kaufmann Publishers.</w:t>
      </w:r>
    </w:p>
    <w:p>
      <w:pPr>
        <w:spacing w:after="80"/>
        <w:ind w:left="720" w:hanging="720"/>
      </w:pPr>
      <w:r>
        <w:t>OWASP (2024) OWASP Mobile Top 10 Security Risks. Open Web Application Security Project. Available at: https://owasp.org/www-project-mobile-top-10/ (Accessed: 15 August 2026).</w:t>
      </w:r>
    </w:p>
    <w:p>
      <w:pPr>
        <w:spacing w:after="80"/>
        <w:ind w:left="720" w:hanging="720"/>
      </w:pPr>
      <w:r>
        <w:t>Vaswani, A., Shazeer, N., Parmar, N., Uszkoreit, J., Jones, L., Gomez, A.N., Kaiser, Ł. and Polosukhin, I. (2017) 'Attention is all you need', Advances in Neural Information Processing Systems, 30, pp. 5998-6008.</w:t>
      </w:r>
    </w:p>
    <w:sectPr w:rsidR="00FC693F" w:rsidRPr="0006063C" w:rsidSect="00034616">
      <w:pgSz w:w="11906" w:h="16838"/>
      <w:pgMar w:top="1440" w:right="1440" w:bottom="1440" w:left="1440" w:header="720" w:footer="720" w:gutter="7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B547E"/>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3B6E8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