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'1.0' encoding='UTF-8' standalone='yes'?><Relationships xmlns='http://schemas.openxmlformats.org/package/2006/relationships'><Relationship Id='rId1' Type='http://schemas.openxmlformats.org/officeDocument/2006/relationships/officeDocument' Target='word/document.xml'/></Relationships>
</file>

<file path=word/document.xml><?xml version="1.0" encoding="utf-8"?>
<w:document xmlns:w="http://schemas.openxmlformats.org/wordprocessingml/2006/main">
  <w:body>
    <w:p>
      <w:pPr>
        <w:spacing w:before="80" w:after="80"/>
      </w:pPr>
      <w:r>
        <w:rPr>
          <w:b/>
          <w:color w:val="0F172A"/>
          <w:sz w:val="36"/>
        </w:rPr>
        <w:t xml:space="preserve">CogniTwin / CogniSense — Complete Hackathon Presentation Guide</w:t>
      </w:r>
    </w:p>
    <w:p>
      <w:pPr>
        <w:spacing w:before="80" w:after="80"/>
      </w:pPr>
      <w:r>
        <w:rPr>
          <w:color w:val="111827"/>
          <w:sz w:val="22"/>
        </w:rPr>
        <w:t xml:space="preserve">Challenge: Happiest Health CRP Digital Twin Challenge 2026</w:t>
      </w:r>
    </w:p>
    <w:p>
      <w:pPr>
        <w:spacing w:before="80" w:after="80"/>
      </w:pPr>
      <w:r>
        <w:rPr>
          <w:color w:val="111827"/>
          <w:sz w:val="22"/>
        </w:rPr>
        <w:t xml:space="preserve">Project Title: CogniTwin (CogniSense) — Longitudinal Multimodal Patient Digital Twin for Early Cognitive Deterioration Screening</w:t>
      </w:r>
    </w:p>
    <w:p>
      <w:pPr>
        <w:spacing w:before="80" w:after="80"/>
      </w:pPr>
      <w:r>
        <w:rPr>
          <w:color w:val="111827"/>
          <w:sz w:val="22"/>
        </w:rPr>
        <w:t xml:space="preserve">Regulatory Positioning: "Screening aid, not a diagnosis." (Strictly non-diagnostic Clinical Decision Support prototype).</w:t>
      </w:r>
    </w:p>
    <w:p>
      <w:pPr>
        <w:spacing w:before="80" w:after="80"/>
      </w:pPr>
      <w:r>
        <w:rPr>
          <w:b/>
          <w:color w:val="1D4ED8"/>
          <w:sz w:val="28"/>
        </w:rPr>
        <w:t xml:space="preserve">1. Elevator Pitch (30 Seconds &amp; 90 Seconds)</w:t>
      </w:r>
    </w:p>
    <w:p>
      <w:pPr>
        <w:spacing w:before="80" w:after="80"/>
      </w:pPr>
      <w:r>
        <w:rPr>
          <w:b/>
          <w:color w:val="0F766E"/>
          <w:sz w:val="24"/>
        </w:rPr>
        <w:t xml:space="preserve">30-Second Hook</w:t>
      </w:r>
    </w:p>
    <w:p>
      <w:pPr>
        <w:spacing w:before="80" w:after="80"/>
      </w:pPr>
      <w:r>
        <w:rPr>
          <w:b/>
          <w:color w:val="374151"/>
          <w:sz w:val="22"/>
        </w:rPr>
        <w:t xml:space="preserve">"Cognitive decline in Mild Cognitive Impairment (MCI) and early Alzheimer's doesn't happen overnight in a clinic—it unfolds silently at home through fragmented deep sleep, dropping autonomic heart rate variability (HRV), slowed speech pauses, and reduced daily activity. Today's episodic clinic visits miss these micro-deteriorations until irreversible damage occurs. CogniTwin is a longitudinal Patient Digital Twin that fuses baseline EHR records, active cognitive screenings, and continuous 7-day wearable telemetry into a calibrated state engine. It predicts 30-day cognitive deterioration risk (0.982 ROC-AUC, 0.044 Brier Score), explains why via SHAP attributions, and lets clinicians simulate 'What-If' lifestyle and adherence interventions in real time—acting strictly as an explainable screening aid, not a diagnosis."</w:t>
      </w:r>
    </w:p>
    <w:p>
      <w:pPr>
        <w:spacing w:before="80" w:after="80"/>
      </w:pPr>
      <w:r>
        <w:rPr>
          <w:b/>
          <w:color w:val="0F766E"/>
          <w:sz w:val="24"/>
        </w:rPr>
        <w:t xml:space="preserve">90-Second Problem → Solution Narrative</w:t>
      </w:r>
    </w:p>
    <w:p>
      <w:pPr>
        <w:spacing w:before="80" w:after="80"/>
      </w:pPr>
      <w:r>
        <w:rPr>
          <w:color w:val="111827"/>
          <w:sz w:val="22"/>
        </w:rPr>
        <w:t xml:space="preserve">1. The Clinical Blind Spot: Standard cognitive assessments (MoCA / MMSE) are static snapshots taken every 6–12 months. Between visits, clinicians are blind to physiological and circadian breakdowns (autonomic nervous system decline, deep sleep loss, medication non-adherence) that precede acute cognitive deterioration.</w:t>
      </w:r>
    </w:p>
    <w:p>
      <w:pPr>
        <w:spacing w:before="80" w:after="80"/>
      </w:pPr>
      <w:r>
        <w:rPr>
          <w:color w:val="111827"/>
          <w:sz w:val="22"/>
        </w:rPr>
        <w:t xml:space="preserve">2. Our Solution (CogniTwin): We built an end-to-end Patient Digital Twin (src/cognisense/twin/) that maintains a living, time-indexed computational state for each patient:</w:t>
      </w:r>
    </w:p>
    <w:p>
      <w:pPr>
        <w:spacing w:before="80" w:after="80"/>
      </w:pPr>
      <w:r>
        <w:rPr>
          <w:color w:val="111827"/>
          <w:sz w:val="22"/>
        </w:rPr>
        <w:t xml:space="preserve">- Fuses 3 Modalities: Static EHR clinical baselines (13 features) + Continuous wearable time-series trends (12 dynamic rolling/slope biomarkers) + Active speech/memory/motor self-screening tasks.</w:t>
      </w:r>
    </w:p>
    <w:p>
      <w:pPr>
        <w:spacing w:before="80" w:after="80"/>
      </w:pPr>
      <w:r>
        <w:rPr>
          <w:color w:val="111827"/>
          <w:sz w:val="22"/>
        </w:rPr>
        <w:t xml:space="preserve">- Deterministic Daily State Engine: Tracks 3-day &amp; 7-day rolling windows and personal baseline deviations to transition patients across 5 clinical states (BASELINEINITIALIZING, STABLE, DATAQUALITYALERT, PHYSIOLOGICALDECLINE, COGNITIVERISKELEVATED).</w:t>
      </w:r>
    </w:p>
    <w:p>
      <w:pPr>
        <w:spacing w:before="80" w:after="80"/>
      </w:pPr>
      <w:r>
        <w:rPr>
          <w:color w:val="111827"/>
          <w:sz w:val="22"/>
        </w:rPr>
        <w:t xml:space="preserve">- Calibrated 30-Day Risk &amp; What-If Simulator: Uses Platt-calibrated models with 95% Wilson confidence intervals and SHAP attributions, plus an interactive counterfactual simulator to test how improving sleep, steps, HRV, or medication adherence shifts a patient's risk tier.</w:t>
      </w:r>
    </w:p>
    <w:p>
      <w:pPr>
        <w:spacing w:before="80" w:after="80"/>
      </w:pPr>
      <w:r>
        <w:rPr>
          <w:color w:val="111827"/>
          <w:sz w:val="22"/>
        </w:rPr>
        <w:t xml:space="preserve">- Last-Mile Accessibility: Includes multilingual patient screening (English, Hindi, Marathi) and an interactive Pune Nearest Memory Clinic Finder for immediate triage.</w:t>
      </w:r>
    </w:p>
    <w:p>
      <w:pPr>
        <w:spacing w:before="80" w:after="80"/>
      </w:pPr>
      <w:r>
        <w:rPr>
          <w:b/>
          <w:color w:val="1D4ED8"/>
          <w:sz w:val="28"/>
        </w:rPr>
        <w:t xml:space="preserve">2. Slide-by-Slide Deck Structure (10 Slides)</w:t>
      </w:r>
    </w:p>
    <w:p>
      <w:pPr>
        <w:spacing w:before="80" w:after="80"/>
      </w:pPr>
      <w:r>
        <w:rPr>
          <w:b/>
          <w:color w:val="0F766E"/>
          <w:sz w:val="24"/>
        </w:rPr>
        <w:t xml:space="preserve">Slide 1: Title &amp; Vision</w:t>
      </w:r>
    </w:p>
    <w:p>
      <w:pPr>
        <w:spacing w:before="80" w:after="80"/>
      </w:pPr>
      <w:r>
        <w:rPr>
          <w:color w:val="111827"/>
          <w:sz w:val="22"/>
        </w:rPr>
        <w:t xml:space="preserve">• Headline: CogniTwin: Multimodal Patient Digital Twin for Early Cognitive Deterioration</w:t>
      </w:r>
    </w:p>
    <w:p>
      <w:pPr>
        <w:spacing w:before="80" w:after="80"/>
      </w:pPr>
      <w:r>
        <w:rPr>
          <w:color w:val="111827"/>
          <w:sz w:val="22"/>
        </w:rPr>
        <w:t xml:space="preserve">• Subtitle: Fusing Continuous Wearable Telemetry, EHR Baselines &amp; Active Cognitive Screenings with Counterfactual Simulation</w:t>
      </w:r>
    </w:p>
    <w:p>
      <w:pPr>
        <w:spacing w:before="80" w:after="80"/>
      </w:pPr>
      <w:r>
        <w:rPr>
          <w:color w:val="111827"/>
          <w:sz w:val="22"/>
        </w:rPr>
        <w:t xml:space="preserve">• Footer: Happiest Health CRP Digital Twin Challenge 2026 | Screening aid, not a diagnosis.</w:t>
      </w:r>
    </w:p>
    <w:p>
      <w:pPr>
        <w:spacing w:before="80" w:after="80"/>
      </w:pPr>
      <w:r>
        <w:rPr>
          <w:b/>
          <w:color w:val="0F766E"/>
          <w:sz w:val="24"/>
        </w:rPr>
        <w:t xml:space="preserve">Slide 2: The Problem — Why Static Episodic Care Fails</w:t>
      </w:r>
    </w:p>
    <w:p>
      <w:pPr>
        <w:spacing w:before="80" w:after="80"/>
      </w:pPr>
      <w:r>
        <w:rPr>
          <w:color w:val="111827"/>
          <w:sz w:val="22"/>
        </w:rPr>
        <w:t xml:space="preserve">• Static Snapshots vs. Dynamic Decline: A single MoCA score in a clinic misses day-to-day circadian fragmentation, autonomic nervous system (HRV) drops, and physical withdrawal.</w:t>
      </w:r>
    </w:p>
    <w:p>
      <w:pPr>
        <w:spacing w:before="80" w:after="80"/>
      </w:pPr>
      <w:r>
        <w:rPr>
          <w:color w:val="111827"/>
          <w:sz w:val="22"/>
        </w:rPr>
        <w:t xml:space="preserve">• Population vs. Personal Baselines: An HRV of 38 ms may be normal for one 75-year-old but represent a 30% drop for another.</w:t>
      </w:r>
    </w:p>
    <w:p>
      <w:pPr>
        <w:spacing w:before="80" w:after="80"/>
      </w:pPr>
      <w:r>
        <w:rPr>
          <w:color w:val="111827"/>
          <w:sz w:val="22"/>
        </w:rPr>
        <w:t xml:space="preserve">• Black-Box AI Distrust: Clinicians reject uncalibrated probabilities without confidence intervals, feature explanations, or sensor data-quality guardrails.</w:t>
      </w:r>
    </w:p>
    <w:p>
      <w:pPr>
        <w:spacing w:before="80" w:after="80"/>
      </w:pPr>
      <w:r>
        <w:rPr>
          <w:b/>
          <w:color w:val="0F766E"/>
          <w:sz w:val="24"/>
        </w:rPr>
        <w:t xml:space="preserve">Slide 3: System Architecture (End-to-End Segregated Stack)</w:t>
      </w:r>
    </w:p>
    <w:p>
      <w:pPr>
        <w:spacing w:before="80" w:after="80"/>
      </w:pPr>
      <w:r>
        <w:rPr>
          <w:color w:val="111827"/>
          <w:sz w:val="22"/>
        </w:rPr>
        <w:t xml:space="preserve">• Layer 1 — Multimodal Inputs:</w:t>
      </w:r>
    </w:p>
    <w:p>
      <w:pPr>
        <w:spacing w:before="80" w:after="80"/>
      </w:pPr>
      <w:r>
        <w:rPr>
          <w:color w:val="111827"/>
          <w:sz w:val="22"/>
        </w:rPr>
        <w:t xml:space="preserve">- Static EHR &amp; Labs (Age, Prior MCI, Baseline MoCA, Vitamin B12, TSH, Cholesterol, APOE-e4, Comorbidities, Medication Adherence).</w:t>
      </w:r>
    </w:p>
    <w:p>
      <w:pPr>
        <w:spacing w:before="80" w:after="80"/>
      </w:pPr>
      <w:r>
        <w:rPr>
          <w:color w:val="111827"/>
          <w:sz w:val="22"/>
        </w:rPr>
        <w:t xml:space="preserve">- 7-Day Longitudinal Wearable Telemetry (Mean HRV, Resting HR, Total/Deep/REM Sleep, Steps, Activity Minutes, Sensor Data Quality Score).</w:t>
      </w:r>
    </w:p>
    <w:p>
      <w:pPr>
        <w:spacing w:before="80" w:after="80"/>
      </w:pPr>
      <w:r>
        <w:rPr>
          <w:color w:val="111827"/>
          <w:sz w:val="22"/>
        </w:rPr>
        <w:t xml:space="preserve">- Active Self-Screening Battery (Local faster-whisper ASR speech pause analysis, motor trail-making task, delayed memory word recall).</w:t>
      </w:r>
    </w:p>
    <w:p>
      <w:pPr>
        <w:spacing w:before="80" w:after="80"/>
      </w:pPr>
      <w:r>
        <w:rPr>
          <w:color w:val="111827"/>
          <w:sz w:val="22"/>
        </w:rPr>
        <w:t xml:space="preserve">• Layer 2 — CogniTwin Core Engine (src/cognisense/twin/):</w:t>
      </w:r>
    </w:p>
    <w:p>
      <w:pPr>
        <w:spacing w:before="80" w:after="80"/>
      </w:pPr>
      <w:r>
        <w:rPr>
          <w:color w:val="111827"/>
          <w:sz w:val="22"/>
        </w:rPr>
        <w:t xml:space="preserve">- Persistent SQLite Store (data/cognitwin.db).</w:t>
      </w:r>
    </w:p>
    <w:p>
      <w:pPr>
        <w:spacing w:before="80" w:after="80"/>
      </w:pPr>
      <w:r>
        <w:rPr>
          <w:color w:val="111827"/>
          <w:sz w:val="22"/>
        </w:rPr>
        <w:t xml:space="preserve">- DailyPatientStateEngine: Computes 3-day/7-day rolling means, trajectory slopes, and personal baseline deviations.</w:t>
      </w:r>
    </w:p>
    <w:p>
      <w:pPr>
        <w:spacing w:before="80" w:after="80"/>
      </w:pPr>
      <w:r>
        <w:rPr>
          <w:color w:val="111827"/>
          <w:sz w:val="22"/>
        </w:rPr>
        <w:t xml:space="preserve">- CogniTwinPredictionPipeline: Platt-calibrated 30-day deterioration classifier with Wilson 95% CIs and SHAP attributions.</w:t>
      </w:r>
    </w:p>
    <w:p>
      <w:pPr>
        <w:spacing w:before="80" w:after="80"/>
      </w:pPr>
      <w:r>
        <w:rPr>
          <w:color w:val="111827"/>
          <w:sz w:val="22"/>
        </w:rPr>
        <w:t xml:space="preserve">- WhatIfInterventionSimulator: Real-time counterfactual sensitivity engine.</w:t>
      </w:r>
    </w:p>
    <w:p>
      <w:pPr>
        <w:spacing w:before="80" w:after="80"/>
      </w:pPr>
      <w:r>
        <w:rPr>
          <w:color w:val="111827"/>
          <w:sz w:val="22"/>
        </w:rPr>
        <w:t xml:space="preserve">• Layer 3 — Clinical &amp; Patient Interfaces:</w:t>
      </w:r>
    </w:p>
    <w:p>
      <w:pPr>
        <w:spacing w:before="80" w:after="80"/>
      </w:pPr>
      <w:r>
        <w:rPr>
          <w:color w:val="111827"/>
          <w:sz w:val="22"/>
        </w:rPr>
        <w:t xml:space="preserve">- FastAPI REST Backend (backend/main.py, /v1/twin/... &amp; /v1/screen/...).</w:t>
      </w:r>
    </w:p>
    <w:p>
      <w:pPr>
        <w:spacing w:before="80" w:after="80"/>
      </w:pPr>
      <w:r>
        <w:rPr>
          <w:color w:val="111827"/>
          <w:sz w:val="22"/>
        </w:rPr>
        <w:t xml:space="preserve">- Streamlit Clinician Digital Twin Workstation (frontend/streamlit/) with HL7 FHIR R4 export.</w:t>
      </w:r>
    </w:p>
    <w:p>
      <w:pPr>
        <w:spacing w:before="80" w:after="80"/>
      </w:pPr>
      <w:r>
        <w:rPr>
          <w:color w:val="111827"/>
          <w:sz w:val="22"/>
        </w:rPr>
        <w:t xml:space="preserve">- React 18 Multilingual Web Portal (frontend/react/) with Pune Clinic Finder (/clinics).</w:t>
      </w:r>
    </w:p>
    <w:p>
      <w:pPr>
        <w:spacing w:before="80" w:after="80"/>
      </w:pPr>
      <w:r>
        <w:rPr>
          <w:b/>
          <w:color w:val="0F766E"/>
          <w:sz w:val="24"/>
        </w:rPr>
        <w:t xml:space="preserve">Slide 4: Multimodal Data &amp; Feature Engineering (25 Twin Features + 47 Tabular Screening Features)</w:t>
      </w:r>
    </w:p>
    <w:p>
      <w:pPr>
        <w:spacing w:before="80" w:after="80"/>
      </w:pPr>
      <w:r>
        <w:rPr>
          <w:color w:val="111827"/>
          <w:sz w:val="22"/>
        </w:rPr>
        <w:t xml:space="preserve">• Cohort: 1,000 synthetic patient profiles (data/ehrstatic1000.csv) + 7,000 longitudinal daily wearable observations (data/wearabletimeseries7days7000.csv).</w:t>
      </w:r>
    </w:p>
    <w:p>
      <w:pPr>
        <w:spacing w:before="80" w:after="80"/>
      </w:pPr>
      <w:r>
        <w:rPr>
          <w:color w:val="111827"/>
          <w:sz w:val="22"/>
        </w:rPr>
        <w:t xml:space="preserve">• 13 Static EHR Baselines: Age, Education, Hypertension, Diabetes, Dyslipidemia, Prior MCI, Vitamin B12, TSH, Cholesterol, Baseline MoCA (10–30), Medication Adherence, Family History, APOE-e4.</w:t>
      </w:r>
    </w:p>
    <w:p>
      <w:pPr>
        <w:spacing w:before="80" w:after="80"/>
      </w:pPr>
      <w:r>
        <w:rPr>
          <w:color w:val="111827"/>
          <w:sz w:val="22"/>
        </w:rPr>
        <w:t xml:space="preserve">• 12 Longitudinal Wearable &amp; Trend Features:</w:t>
      </w:r>
    </w:p>
    <w:p>
      <w:pPr>
        <w:spacing w:before="80" w:after="80"/>
      </w:pPr>
      <w:r>
        <w:rPr>
          <w:color w:val="111827"/>
          <w:sz w:val="22"/>
        </w:rPr>
        <w:t xml:space="preserve">- Autonomic: meanhrvms, hrvtrendslope, meanrestinghrbpm, restinghrtrendslope</w:t>
      </w:r>
    </w:p>
    <w:p>
      <w:pPr>
        <w:spacing w:before="80" w:after="80"/>
      </w:pPr>
      <w:r>
        <w:rPr>
          <w:color w:val="111827"/>
          <w:sz w:val="22"/>
        </w:rPr>
        <w:t xml:space="preserve">- Circadian/Sleep: meansleephours, sleepvariabilitystd, meandeepsleephours, deepsleepratio</w:t>
      </w:r>
    </w:p>
    <w:p>
      <w:pPr>
        <w:spacing w:before="80" w:after="80"/>
      </w:pPr>
      <w:r>
        <w:rPr>
          <w:color w:val="111827"/>
          <w:sz w:val="22"/>
        </w:rPr>
        <w:t xml:space="preserve">- Mobility &amp; Telemetry Integrity: meandailysteps, stepstrendslope, meanactivityminutes, wearabledataqualityscore</w:t>
      </w:r>
    </w:p>
    <w:p>
      <w:pPr>
        <w:spacing w:before="80" w:after="80"/>
      </w:pPr>
      <w:r>
        <w:rPr>
          <w:b/>
          <w:color w:val="0F766E"/>
          <w:sz w:val="24"/>
        </w:rPr>
        <w:t xml:space="preserve">Slide 5: Daily Patient State Engine (src/cognisense/twin/stateengine.py)</w:t>
      </w:r>
    </w:p>
    <w:p>
      <w:pPr>
        <w:spacing w:before="80" w:after="80"/>
      </w:pPr>
      <w:r>
        <w:rPr>
          <w:color w:val="111827"/>
          <w:sz w:val="22"/>
        </w:rPr>
        <w:t xml:space="preserve">• Personal Baseline Calibration: Uses Days 1–3 to establish each patient's individualized physiological baseline.</w:t>
      </w:r>
    </w:p>
    <w:p>
      <w:pPr>
        <w:spacing w:before="80" w:after="80"/>
      </w:pPr>
      <w:r>
        <w:rPr>
          <w:color w:val="111827"/>
          <w:sz w:val="22"/>
        </w:rPr>
        <w:t xml:space="preserve">• Temporal Strictness (Zero Future Leakage): State at Day $t$ only accesses observations $[1 \dots t]$.</w:t>
      </w:r>
    </w:p>
    <w:p>
      <w:pPr>
        <w:spacing w:before="80" w:after="80"/>
      </w:pPr>
      <w:r>
        <w:rPr>
          <w:color w:val="111827"/>
          <w:sz w:val="22"/>
        </w:rPr>
        <w:t xml:space="preserve">• 5 Deterministic Clinical States:</w:t>
      </w:r>
    </w:p>
    <w:p>
      <w:pPr>
        <w:spacing w:before="80" w:after="80"/>
      </w:pPr>
      <w:r>
        <w:rPr>
          <w:color w:val="111827"/>
          <w:sz w:val="22"/>
        </w:rPr>
        <w:t xml:space="preserve">1. BASELINEINITIALIZING: Days 1–2 while personal reference norms are established.</w:t>
      </w:r>
    </w:p>
    <w:p>
      <w:pPr>
        <w:spacing w:before="80" w:after="80"/>
      </w:pPr>
      <w:r>
        <w:rPr>
          <w:color w:val="111827"/>
          <w:sz w:val="22"/>
        </w:rPr>
        <w:t xml:space="preserve">2. DATAQUALITYALERT: Triggered immediately when dataqualityscore &lt; 0.65 (e.g., watch off-wrist or sensor dropouts), preventing false clinical alarms.</w:t>
      </w:r>
    </w:p>
    <w:p>
      <w:pPr>
        <w:spacing w:before="80" w:after="80"/>
      </w:pPr>
      <w:r>
        <w:rPr>
          <w:color w:val="111827"/>
          <w:sz w:val="22"/>
        </w:rPr>
        <w:t xml:space="preserve">3. STABLE: Telemetry remains within personal baseline parameters ($\pm 15\%$).</w:t>
      </w:r>
    </w:p>
    <w:p>
      <w:pPr>
        <w:spacing w:before="80" w:after="80"/>
      </w:pPr>
      <w:r>
        <w:rPr>
          <w:color w:val="111827"/>
          <w:sz w:val="22"/>
        </w:rPr>
        <w:t xml:space="preserve">4. PHYSIOLOGICALDECLINE: $\ge 2$ adverse personal shifts (HRV drop $\ge 20\%$, Deep Sleep drop $\ge 25\%$, Steps drop $\ge 25\%$, or RHR jump $\ge +5\text{ bpm}$).</w:t>
      </w:r>
    </w:p>
    <w:p>
      <w:pPr>
        <w:spacing w:before="80" w:after="80"/>
      </w:pPr>
      <w:r>
        <w:rPr>
          <w:color w:val="111827"/>
          <w:sz w:val="22"/>
        </w:rPr>
        <w:t xml:space="preserve">5. COGNITIVERISKELEVATED: Multi-domain physiological decline superimposed on baseline cognitive vulnerability ($\text{MoCA} &lt; 24.0$ or Prior MCI).</w:t>
      </w:r>
    </w:p>
    <w:p>
      <w:pPr>
        <w:spacing w:before="80" w:after="80"/>
      </w:pPr>
      <w:r>
        <w:rPr>
          <w:b/>
          <w:color w:val="0F766E"/>
          <w:sz w:val="24"/>
        </w:rPr>
        <w:t xml:space="preserve">Slide 6: Calibrated 30-Day Prediction &amp; Rigorous Validation (src/cognisense/twin/predictionpipeline.py)</w:t>
      </w:r>
    </w:p>
    <w:p>
      <w:pPr>
        <w:spacing w:before="80" w:after="80"/>
      </w:pPr>
      <w:r>
        <w:rPr>
          <w:color w:val="111827"/>
          <w:sz w:val="22"/>
        </w:rPr>
        <w:t xml:space="preserve">• Target Outcome: cognitivedeterioration30d (Simulated $\ge 2$-point MoCA decline within 30 days).</w:t>
      </w:r>
    </w:p>
    <w:p>
      <w:pPr>
        <w:spacing w:before="80" w:after="80"/>
      </w:pPr>
      <w:r>
        <w:rPr>
          <w:color w:val="111827"/>
          <w:sz w:val="22"/>
        </w:rPr>
        <w:t xml:space="preserve">• Leakage-Safe Architecture:</w:t>
      </w:r>
    </w:p>
    <w:p>
      <w:pPr>
        <w:spacing w:before="80" w:after="80"/>
      </w:pPr>
      <w:r>
        <w:rPr>
          <w:color w:val="111827"/>
          <w:sz w:val="22"/>
        </w:rPr>
        <w:t xml:space="preserve">- Strictly grouped by patientid across 5 folds.</w:t>
      </w:r>
    </w:p>
    <w:p>
      <w:pPr>
        <w:spacing w:before="80" w:after="80"/>
      </w:pPr>
      <w:r>
        <w:rPr>
          <w:color w:val="111827"/>
          <w:sz w:val="22"/>
        </w:rPr>
        <w:t xml:space="preserve">- Median SimpleImputer, StandardScaler, balanced LogisticRegression, and 5-fold Platt sigmoid CalibratedClassifierCV fitted strictly inside each cross-validation fold.</w:t>
      </w:r>
    </w:p>
    <w:p>
      <w:pPr>
        <w:spacing w:before="80" w:after="80"/>
      </w:pPr>
      <w:r>
        <w:rPr>
          <w:color w:val="111827"/>
          <w:sz w:val="22"/>
        </w:rPr>
        <w:t xml:space="preserve">- Explicit programmatic guard dropping latent generator variables (syntheticeventprobability, latentrisk, RiskScore).</w:t>
      </w:r>
    </w:p>
    <w:p>
      <w:pPr>
        <w:spacing w:before="80" w:after="80"/>
      </w:pPr>
      <w:r>
        <w:rPr>
          <w:color w:val="111827"/>
          <w:sz w:val="22"/>
        </w:rPr>
        <w:t xml:space="preserve">• Uncertainty Quantification: Wilson 95% Confidence Intervals around every patient's calibrated probability + 4 Risk Tiers (LOW &lt;25%, MODERATE 25–50%, ELEVATED 50–75%, HIGH &gt;=75%).</w:t>
      </w:r>
    </w:p>
    <w:p>
      <w:pPr>
        <w:spacing w:before="80" w:after="80"/>
      </w:pPr>
      <w:r>
        <w:rPr>
          <w:b/>
          <w:color w:val="0F766E"/>
          <w:sz w:val="24"/>
        </w:rPr>
        <w:t xml:space="preserve">Slide 7: Audited Evaluation Metrics (Traceable to /reports)</w:t>
      </w:r>
    </w:p>
    <w:p>
      <w:pPr>
        <w:spacing w:before="80" w:after="80"/>
      </w:pPr>
      <w:r>
        <w:rPr>
          <w:color w:val="111827"/>
          <w:sz w:val="22"/>
        </w:rPr>
        <w:t xml:space="preserve">All metrics below are generated by reproducible code and stored in reports/cognitwinmetrics.md &amp; reports/screeningmetrics.json.</w:t>
      </w:r>
    </w:p>
    <w:p>
      <w:pPr>
        <w:spacing w:before="80" w:after="80"/>
      </w:pPr>
      <w:r>
        <w:rPr>
          <w:color w:val="111827"/>
          <w:sz w:val="20"/>
        </w:rPr>
        <w:t xml:space="preserve">Pipeline | Metric | Audited Score | Clinical / Technical Value</w:t>
      </w:r>
    </w:p>
    <w:p>
      <w:pPr>
        <w:spacing w:before="80" w:after="80"/>
      </w:pPr>
      <w:r>
        <w:rPr>
          <w:color w:val="111827"/>
          <w:sz w:val="20"/>
        </w:rPr>
        <w:t xml:space="preserve">CogniTwin 30-Day Deterioration (5-Fold CV, $N=1,000$) | ROC-AUC | 0.982 | Strong discrimination between stable and deteriorating trajectories</w:t>
      </w:r>
    </w:p>
    <w:p>
      <w:pPr>
        <w:spacing w:before="80" w:after="80"/>
      </w:pPr>
      <w:r>
        <w:rPr>
          <w:color w:val="111827"/>
          <w:sz w:val="20"/>
        </w:rPr>
        <w:t xml:space="preserve">CogniTwin 30-Day Deterioration | PR-AUC | 0.936 | High precision across full recall spectrum on positive deterioration events</w:t>
      </w:r>
    </w:p>
    <w:p>
      <w:pPr>
        <w:spacing w:before="80" w:after="80"/>
      </w:pPr>
      <w:r>
        <w:rPr>
          <w:color w:val="111827"/>
          <w:sz w:val="20"/>
        </w:rPr>
        <w:t xml:space="preserve">CogniTwin 30-Day Deterioration | Brier Score | 0.044 | Exceptional Platt-calibrated probability accuracy ($&lt;0.05$)</w:t>
      </w:r>
    </w:p>
    <w:p>
      <w:pPr>
        <w:spacing w:before="80" w:after="80"/>
      </w:pPr>
      <w:r>
        <w:rPr>
          <w:color w:val="111827"/>
          <w:sz w:val="20"/>
        </w:rPr>
        <w:t xml:space="preserve">CogniTwin 30-Day Deterioration | Sensitivity / Specificity | 0.847 / 0.980 | High detection of at-risk patients while minimizing false alarms (98% specificity)</w:t>
      </w:r>
    </w:p>
    <w:p>
      <w:pPr>
        <w:spacing w:before="80" w:after="80"/>
      </w:pPr>
      <w:r>
        <w:rPr>
          <w:color w:val="111827"/>
          <w:sz w:val="20"/>
        </w:rPr>
        <w:t xml:space="preserve">CogniTwin 30-Day Deterioration | Accuracy / F1 Score | 0.949 / 0.886 | Balanced overall classification at $0.50$ threshold</w:t>
      </w:r>
    </w:p>
    <w:p>
      <w:pPr>
        <w:spacing w:before="80" w:after="80"/>
      </w:pPr>
      <w:r>
        <w:rPr>
          <w:color w:val="111827"/>
          <w:sz w:val="20"/>
        </w:rPr>
        <w:t xml:space="preserve">Tabular Screening Pipeline (47 features, Holdout Test) | ROC-AUC / Brier | 0.945 / 0.087 | Multimodal baseline screening accuracy (88.5% test accuracy)</w:t>
      </w:r>
    </w:p>
    <w:p>
      <w:pPr>
        <w:spacing w:before="80" w:after="80"/>
      </w:pPr>
      <w:r>
        <w:rPr>
          <w:b/>
          <w:color w:val="0F766E"/>
          <w:sz w:val="24"/>
        </w:rPr>
        <w:t xml:space="preserve">Slide 8: Explainable AI (SHAP) &amp; What-If Counterfactual Simulator (src/cognisense/twin/simulator.py)</w:t>
      </w:r>
    </w:p>
    <w:p>
      <w:pPr>
        <w:spacing w:before="80" w:after="80"/>
      </w:pPr>
      <w:r>
        <w:rPr>
          <w:color w:val="111827"/>
          <w:sz w:val="22"/>
        </w:rPr>
        <w:t xml:space="preserve">• Individualized Feature Attributions: Every prediction surfaces the top 6 biomarker drivers comparing the patient's value against the cohort median reference, showing magnitude and direction ([+] Increases Risk vs [-] Protective).</w:t>
      </w:r>
    </w:p>
    <w:p>
      <w:pPr>
        <w:spacing w:before="80" w:after="80"/>
      </w:pPr>
      <w:r>
        <w:rPr>
          <w:color w:val="111827"/>
          <w:sz w:val="22"/>
        </w:rPr>
        <w:t xml:space="preserve">• Real-Time Counterfactual Simulation: Clinicians adjust sliders using the exact fitted ML pipeline to answer: "How much does 30-day risk drop if we intervene today?"</w:t>
      </w:r>
    </w:p>
    <w:p>
      <w:pPr>
        <w:spacing w:before="80" w:after="80"/>
      </w:pPr>
      <w:r>
        <w:rPr>
          <w:color w:val="111827"/>
          <w:sz w:val="22"/>
        </w:rPr>
        <w:t xml:space="preserve">- Example on Demo Patient PT-0002: Increasing sleep by +1.5 hrs (proportionally boosting deep sleep), adding +3,000 daily steps, improving HRV by +10 ms, and raising medication adherence to 95% shifts the patient's risk tier downward in real time.</w:t>
      </w:r>
    </w:p>
    <w:p>
      <w:pPr>
        <w:spacing w:before="80" w:after="80"/>
      </w:pPr>
      <w:r>
        <w:rPr>
          <w:b/>
          <w:color w:val="0F766E"/>
          <w:sz w:val="24"/>
        </w:rPr>
        <w:t xml:space="preserve">Slide 9: Dual Frontend Experience &amp; Last-Mile Clinical Impact</w:t>
      </w:r>
    </w:p>
    <w:p>
      <w:pPr>
        <w:spacing w:before="80" w:after="80"/>
      </w:pPr>
      <w:r>
        <w:rPr>
          <w:color w:val="111827"/>
          <w:sz w:val="22"/>
        </w:rPr>
        <w:t xml:space="preserve">1. Clinician Digital Twin Workstation (frontend/streamlit/):</w:t>
      </w:r>
    </w:p>
    <w:p>
      <w:pPr>
        <w:spacing w:before="80" w:after="80"/>
      </w:pPr>
      <w:r>
        <w:rPr>
          <w:color w:val="111827"/>
          <w:sz w:val="22"/>
        </w:rPr>
        <w:t xml:space="preserve">- Interactive Day 1 $\rightarrow$ Day 7+ timeline scrubber &amp; state replay.</w:t>
      </w:r>
    </w:p>
    <w:p>
      <w:pPr>
        <w:spacing w:before="80" w:after="80"/>
      </w:pPr>
      <w:r>
        <w:rPr>
          <w:color w:val="111827"/>
          <w:sz w:val="22"/>
        </w:rPr>
        <w:t xml:space="preserve">- Day A vs. Day B biomarker delta comparison (comparestates).</w:t>
      </w:r>
    </w:p>
    <w:p>
      <w:pPr>
        <w:spacing w:before="80" w:after="80"/>
      </w:pPr>
      <w:r>
        <w:rPr>
          <w:color w:val="111827"/>
          <w:sz w:val="22"/>
        </w:rPr>
        <w:t xml:space="preserve">- Live Day 8+ streaming telemetry ingestion (advance-day).</w:t>
      </w:r>
    </w:p>
    <w:p>
      <w:pPr>
        <w:spacing w:before="80" w:after="80"/>
      </w:pPr>
      <w:r>
        <w:rPr>
          <w:color w:val="111827"/>
          <w:sz w:val="22"/>
        </w:rPr>
        <w:t xml:space="preserve">- HL7 FHIR R4 Bundle &amp; JSON export for hospital EHR interoperability.</w:t>
      </w:r>
    </w:p>
    <w:p>
      <w:pPr>
        <w:spacing w:before="80" w:after="80"/>
      </w:pPr>
      <w:r>
        <w:rPr>
          <w:color w:val="111827"/>
          <w:sz w:val="22"/>
        </w:rPr>
        <w:t xml:space="preserve">2. Patient &amp; Primary Care Web Portal (frontend/react/):</w:t>
      </w:r>
    </w:p>
    <w:p>
      <w:pPr>
        <w:spacing w:before="80" w:after="80"/>
      </w:pPr>
      <w:r>
        <w:rPr>
          <w:color w:val="111827"/>
          <w:sz w:val="22"/>
        </w:rPr>
        <w:t xml:space="preserve">- Active Patient Screening (/screen): Zero-PHI browser state machine with mic check, motor trail-making task, and memory recall.</w:t>
      </w:r>
    </w:p>
    <w:p>
      <w:pPr>
        <w:spacing w:before="80" w:after="80"/>
      </w:pPr>
      <w:r>
        <w:rPr>
          <w:color w:val="111827"/>
          <w:sz w:val="22"/>
        </w:rPr>
        <w:t xml:space="preserve">- Multilingual Localization: Full support for English, Hindi (हिन्दी), and Marathi (मराठी) with culturally localized word recall lists.</w:t>
      </w:r>
    </w:p>
    <w:p>
      <w:pPr>
        <w:spacing w:before="80" w:after="80"/>
      </w:pPr>
      <w:r>
        <w:rPr>
          <w:color w:val="111827"/>
          <w:sz w:val="22"/>
        </w:rPr>
        <w:t xml:space="preserve">- Pune Nearest Clinic Finder (/clinics): Interactive Leaflet map connecting high-risk patients to verified memory clinics &amp; neurology departments in Pune (Deenanath Mangeshkar, Ruby Hall, Jehangir, Sahyadri, KEM, Manipal, Bharati Hospital) with GPS distance sorting.</w:t>
      </w:r>
    </w:p>
    <w:p>
      <w:pPr>
        <w:spacing w:before="80" w:after="80"/>
      </w:pPr>
      <w:r>
        <w:rPr>
          <w:b/>
          <w:color w:val="0F766E"/>
          <w:sz w:val="24"/>
        </w:rPr>
        <w:t xml:space="preserve">Slide 10: Responsible AI — Fairness, Privacy &amp; Safety Guardrails</w:t>
      </w:r>
    </w:p>
    <w:p>
      <w:pPr>
        <w:spacing w:before="80" w:after="80"/>
      </w:pPr>
      <w:r>
        <w:rPr>
          <w:color w:val="111827"/>
          <w:sz w:val="22"/>
        </w:rPr>
        <w:t xml:space="preserve">• Subgroup Fairness &amp; Proxy Audits (src/cognisense/fairness/): Dedicated /evidence/fairness dashboard auditing Equalized Odds and Demographic Parity across age/sex subgroups.</w:t>
      </w:r>
    </w:p>
    <w:p>
      <w:pPr>
        <w:spacing w:before="80" w:after="80"/>
      </w:pPr>
      <w:r>
        <w:rPr>
          <w:color w:val="111827"/>
          <w:sz w:val="22"/>
        </w:rPr>
        <w:t xml:space="preserve">• Privacy-by-Design (src/cognisense/privacy/):</w:t>
      </w:r>
    </w:p>
    <w:p>
      <w:pPr>
        <w:spacing w:before="80" w:after="80"/>
      </w:pPr>
      <w:r>
        <w:rPr>
          <w:color w:val="111827"/>
          <w:sz w:val="22"/>
        </w:rPr>
        <w:t xml:space="preserve">- 100% local speech processing (faster-whisper)—no external cloud API ever receives audio or transcripts.</w:t>
      </w:r>
    </w:p>
    <w:p>
      <w:pPr>
        <w:spacing w:before="80" w:after="80"/>
      </w:pPr>
      <w:r>
        <w:rPr>
          <w:color w:val="111827"/>
          <w:sz w:val="22"/>
        </w:rPr>
        <w:t xml:space="preserve">- Cryptographic patient pseudonymization &amp; GDPR Right-to-Erasure simulation (/privacy).</w:t>
      </w:r>
    </w:p>
    <w:p>
      <w:pPr>
        <w:spacing w:before="80" w:after="80"/>
      </w:pPr>
      <w:r>
        <w:rPr>
          <w:color w:val="111827"/>
          <w:sz w:val="22"/>
        </w:rPr>
        <w:t xml:space="preserve">• Non-Diagnostic Compliance: Every API response, CLI output, and UI screen embeds explicit clinical disclaimers ("Screening aid, not a diagnosis").</w:t>
      </w:r>
    </w:p>
    <w:p>
      <w:pPr>
        <w:spacing w:before="80" w:after="80"/>
      </w:pPr>
      <w:r>
        <w:rPr>
          <w:b/>
          <w:color w:val="1D4ED8"/>
          <w:sz w:val="28"/>
        </w:rPr>
        <w:t xml:space="preserve">3. Live Demo Playbook for Judges (Step-by-Step)</w:t>
      </w:r>
    </w:p>
    <w:p>
      <w:pPr>
        <w:spacing w:before="80" w:after="80"/>
      </w:pPr>
      <w:r>
        <w:rPr>
          <w:color w:val="111827"/>
          <w:sz w:val="22"/>
        </w:rPr>
        <w:t xml:space="preserve">You have 4 pre-engineered Judge Personas in the database (PT-0001 through PT-0004) designed specifically to prove every capability of the Digital Twin during live judging:</w:t>
      </w:r>
    </w:p>
    <w:p>
      <w:pPr>
        <w:spacing w:before="80" w:after="80"/>
      </w:pPr>
      <w:r>
        <w:rPr>
          <w:color w:val="111827"/>
          <w:sz w:val="20"/>
        </w:rPr>
        <w:t xml:space="preserve">Patient ID | Persona Name | Clinical Profile | What It Proves to Judges</w:t>
      </w:r>
    </w:p>
    <w:p>
      <w:pPr>
        <w:spacing w:before="80" w:after="80"/>
      </w:pPr>
      <w:r>
        <w:rPr>
          <w:color w:val="111827"/>
          <w:sz w:val="20"/>
        </w:rPr>
        <w:t xml:space="preserve">PT-0001 | Persona 1: Stable Benchmark | 62F, MoCA 28.5, no MCI, HRV ~56 ms, Sleep ~7.6h, Quality 0.98 | Proves STABLE state classification and protection against false positives (LOW risk tier).</w:t>
      </w:r>
    </w:p>
    <w:p>
      <w:pPr>
        <w:spacing w:before="80" w:after="80"/>
      </w:pPr>
      <w:r>
        <w:rPr>
          <w:color w:val="111827"/>
          <w:sz w:val="20"/>
        </w:rPr>
        <w:t xml:space="preserve">PT-0002 | Persona 2: Progressive Physiological Decline (Primary Demo) | 73M, MoCA 25.0, Hypertension + Dyslipidemia. Days 1–3 stable; Days 4–7 rapid drop in HRV, deep sleep, and steps | Proves State Transition Detection (STABLE on Day 3 $\rightarrow$ PHYSIOLOGICALDECLINE on Day 7) and What-If Intervention Simulation.</w:t>
      </w:r>
    </w:p>
    <w:p>
      <w:pPr>
        <w:spacing w:before="80" w:after="80"/>
      </w:pPr>
      <w:r>
        <w:rPr>
          <w:color w:val="111827"/>
          <w:sz w:val="20"/>
        </w:rPr>
        <w:t xml:space="preserve">PT-0003 | Persona 3: Incomplete/Noisy Wearable Telemetry | 68F, MoCA 26.0. Watch off-wrist / sensor dropouts on Days 2, 5, 6 (quality = 0.45) | Proves Data Quality Guardrails: Twin triggers DATAQUALITYALERT instead of hallucinating a false physiological decline.</w:t>
      </w:r>
    </w:p>
    <w:p>
      <w:pPr>
        <w:spacing w:before="80" w:after="80"/>
      </w:pPr>
      <w:r>
        <w:rPr>
          <w:color w:val="111827"/>
          <w:sz w:val="20"/>
        </w:rPr>
        <w:t xml:space="preserve">PT-0004 | Persona 4: Multi-Domain Deterioration Risk | 79M, Prior MCI, MoCA 21.0, triple comorbidities, chronic low HRV (~28 ms) &amp; fragmented sleep (~5.1h) | Proves COGNITIVERISKELEVATED state and HIGH 30-day deterioration probability with multi-factor SHAP attributions.</w:t>
      </w:r>
    </w:p>
    <w:p>
      <w:pPr>
        <w:spacing w:before="80" w:after="80"/>
      </w:pPr>
      <w:r>
        <w:rPr>
          <w:b/>
          <w:color w:val="0F766E"/>
          <w:sz w:val="24"/>
        </w:rPr>
        <w:t xml:space="preserve">Option A: 15-Second Automated CLI Demo (Zero-Click Fallback)</w:t>
      </w:r>
    </w:p>
    <w:p>
      <w:pPr>
        <w:spacing w:before="80" w:after="80"/>
      </w:pPr>
      <w:r>
        <w:rPr>
          <w:color w:val="111827"/>
          <w:sz w:val="22"/>
        </w:rPr>
        <w:t xml:space="preserve">Run this in terminal to show all 8 lifecycle steps on PT-0002 automatically:</w:t>
      </w:r>
    </w:p>
    <w:p>
      <w:pPr>
        <w:spacing w:before="80" w:after="80"/>
      </w:pPr>
      <w:r>
        <w:rPr>
          <w:color w:val="1F2937"/>
          <w:sz w:val="20"/>
        </w:rPr>
        <w:t xml:space="preserve">python scripts/runtwindemo.py</w:t>
      </w:r>
    </w:p>
    <w:p>
      <w:pPr>
        <w:spacing w:before="80" w:after="80"/>
      </w:pPr>
      <w:r>
        <w:rPr>
          <w:b/>
          <w:color w:val="0F766E"/>
          <w:sz w:val="24"/>
        </w:rPr>
        <w:t xml:space="preserve">Option B: Interactive UI Demo Flow (2 Minutes)</w:t>
      </w:r>
    </w:p>
    <w:p>
      <w:pPr>
        <w:spacing w:before="80" w:after="80"/>
      </w:pPr>
      <w:r>
        <w:rPr>
          <w:color w:val="111827"/>
          <w:sz w:val="22"/>
        </w:rPr>
        <w:t xml:space="preserve">1. Launch Services:</w:t>
      </w:r>
    </w:p>
    <w:p>
      <w:pPr>
        <w:spacing w:before="80" w:after="80"/>
      </w:pPr>
      <w:r>
        <w:rPr>
          <w:color w:val="111827"/>
          <w:sz w:val="22"/>
        </w:rPr>
        <w:t xml:space="preserve">powershell</w:t>
      </w:r>
    </w:p>
    <w:p>
      <w:pPr>
        <w:spacing w:before="80" w:after="80"/>
      </w:pPr>
      <w:r>
        <w:rPr>
          <w:color w:val="111827"/>
          <w:sz w:val="22"/>
        </w:rPr>
        <w:t xml:space="preserve"># Terminal 1: FastAPI Backend (http://localhost:8000/docs)</w:t>
      </w:r>
    </w:p>
    <w:p>
      <w:pPr>
        <w:spacing w:before="80" w:after="80"/>
      </w:pPr>
      <w:r>
        <w:rPr>
          <w:color w:val="111827"/>
          <w:sz w:val="22"/>
        </w:rPr>
        <w:t xml:space="preserve">python -m uvicorn backend.main:app --host 0.0.0.0 --port 8000 --reload</w:t>
      </w:r>
    </w:p>
    <w:p>
      <w:pPr>
        <w:spacing w:before="80" w:after="80"/>
      </w:pPr>
      <w:r>
        <w:rPr>
          <w:color w:val="111827"/>
          <w:sz w:val="22"/>
        </w:rPr>
        <w:t xml:space="preserve"># Terminal 2: Streamlit Clinician Dashboard (http://localhost:8501)</w:t>
      </w:r>
    </w:p>
    <w:p>
      <w:pPr>
        <w:spacing w:before="80" w:after="80"/>
      </w:pPr>
      <w:r>
        <w:rPr>
          <w:color w:val="111827"/>
          <w:sz w:val="22"/>
        </w:rPr>
        <w:t xml:space="preserve">python -m streamlit run frontend/streamlit/Home.py</w:t>
      </w:r>
    </w:p>
    <w:p>
      <w:pPr>
        <w:spacing w:before="80" w:after="80"/>
      </w:pPr>
      <w:r>
        <w:rPr>
          <w:color w:val="111827"/>
          <w:sz w:val="22"/>
        </w:rPr>
        <w:t xml:space="preserve"># Terminal 3: React Web Portal (http://localhost:5173/twin)</w:t>
      </w:r>
    </w:p>
    <w:p>
      <w:pPr>
        <w:spacing w:before="80" w:after="80"/>
      </w:pPr>
      <w:r>
        <w:rPr>
          <w:color w:val="111827"/>
          <w:sz w:val="22"/>
        </w:rPr>
        <w:t xml:space="preserve">cd frontend/react; npm run dev</w:t>
      </w:r>
    </w:p>
    <w:p>
      <w:pPr>
        <w:spacing w:before="80" w:after="80"/>
      </w:pPr>
      <w:r>
        <w:rPr>
          <w:color w:val="111827"/>
          <w:sz w:val="22"/>
        </w:rPr>
        <w:t xml:space="preserve"/>
      </w:r>
    </w:p>
    <w:p>
      <w:pPr>
        <w:spacing w:before="80" w:after="80"/>
      </w:pPr>
      <w:r>
        <w:rPr>
          <w:color w:val="111827"/>
          <w:sz w:val="22"/>
        </w:rPr>
        <w:t xml:space="preserve">2. Step 1 — Select PT-0002 (Progressive Physiological Decline):</w:t>
      </w:r>
    </w:p>
    <w:p>
      <w:pPr>
        <w:spacing w:before="80" w:after="80"/>
      </w:pPr>
      <w:r>
        <w:rPr>
          <w:color w:val="111827"/>
          <w:sz w:val="22"/>
        </w:rPr>
        <w:t xml:space="preserve">- Show that on Day 3, the patient is STABLE (HRV ~39 ms, Sleep ~7.2h).</w:t>
      </w:r>
    </w:p>
    <w:p>
      <w:pPr>
        <w:spacing w:before="80" w:after="80"/>
      </w:pPr>
      <w:r>
        <w:rPr>
          <w:color w:val="111827"/>
          <w:sz w:val="22"/>
        </w:rPr>
        <w:t xml:space="preserve">- Scrub the timeline to Day 7: Show the automatic state shift to PHYSIOLOGICALDECLINE as HRV drops by &gt;20%, deep sleep drops, and steps fall.</w:t>
      </w:r>
    </w:p>
    <w:p>
      <w:pPr>
        <w:spacing w:before="80" w:after="80"/>
      </w:pPr>
      <w:r>
        <w:rPr>
          <w:color w:val="111827"/>
          <w:sz w:val="22"/>
        </w:rPr>
        <w:t xml:space="preserve">3. Step 2 — Inspect 30-Day Prediction &amp; SHAP:</w:t>
      </w:r>
    </w:p>
    <w:p>
      <w:pPr>
        <w:spacing w:before="80" w:after="80"/>
      </w:pPr>
      <w:r>
        <w:rPr>
          <w:color w:val="111827"/>
          <w:sz w:val="22"/>
        </w:rPr>
        <w:t xml:space="preserve">- Point out the calibrated probability, the 95% Wilson Confidence Interval, and the top SHAP drivers (hrvtrendslope, deepsleepratio, stepstrendslope).</w:t>
      </w:r>
    </w:p>
    <w:p>
      <w:pPr>
        <w:spacing w:before="80" w:after="80"/>
      </w:pPr>
      <w:r>
        <w:rPr>
          <w:color w:val="111827"/>
          <w:sz w:val="22"/>
        </w:rPr>
        <w:t xml:space="preserve">4. Step 3 — Run What-If Counterfactual Simulation:</w:t>
      </w:r>
    </w:p>
    <w:p>
      <w:pPr>
        <w:spacing w:before="80" w:after="80"/>
      </w:pPr>
      <w:r>
        <w:rPr>
          <w:color w:val="111827"/>
          <w:sz w:val="22"/>
        </w:rPr>
        <w:t xml:space="preserve">- Drag the intervention sliders: +1.5h Sleep, +3,000 Steps, +10 ms HRV, 95% Medication Adherence.</w:t>
      </w:r>
    </w:p>
    <w:p>
      <w:pPr>
        <w:spacing w:before="80" w:after="80"/>
      </w:pPr>
      <w:r>
        <w:rPr>
          <w:color w:val="111827"/>
          <w:sz w:val="22"/>
        </w:rPr>
        <w:t xml:space="preserve">- Show the immediate counterfactual risk reduction and tier transition.</w:t>
      </w:r>
    </w:p>
    <w:p>
      <w:pPr>
        <w:spacing w:before="80" w:after="80"/>
      </w:pPr>
      <w:r>
        <w:rPr>
          <w:color w:val="111827"/>
          <w:sz w:val="22"/>
        </w:rPr>
        <w:t xml:space="preserve">5. Step 4 — Live Streaming Ingestion (Day 8):</w:t>
      </w:r>
    </w:p>
    <w:p>
      <w:pPr>
        <w:spacing w:before="80" w:after="80"/>
      </w:pPr>
      <w:r>
        <w:rPr>
          <w:color w:val="111827"/>
          <w:sz w:val="22"/>
        </w:rPr>
        <w:t xml:space="preserve">- Click "Advance Day (Ingest Day 8 Telemetry)" to push a live sensor reading into SQLite and watch the Digital Twin recompute rolling windows and state in real time.</w:t>
      </w:r>
    </w:p>
    <w:p>
      <w:pPr>
        <w:spacing w:before="80" w:after="80"/>
      </w:pPr>
      <w:r>
        <w:rPr>
          <w:color w:val="111827"/>
          <w:sz w:val="22"/>
        </w:rPr>
        <w:t xml:space="preserve">6. Step 5 — Switch to PT-0003 (Noisy Telemetry):</w:t>
      </w:r>
    </w:p>
    <w:p>
      <w:pPr>
        <w:spacing w:before="80" w:after="80"/>
      </w:pPr>
      <w:r>
        <w:rPr>
          <w:color w:val="111827"/>
          <w:sz w:val="22"/>
        </w:rPr>
        <w:t xml:space="preserve">- Briefly select PT-0003 to show the DATAQUALITYALERT banner on Days 2, 5, and 6.</w:t>
      </w:r>
    </w:p>
    <w:p>
      <w:pPr>
        <w:spacing w:before="80" w:after="80"/>
      </w:pPr>
      <w:r>
        <w:rPr>
          <w:b/>
          <w:color w:val="1D4ED8"/>
          <w:sz w:val="28"/>
        </w:rPr>
        <w:t xml:space="preserve">4. Judge Q&amp;A Cheat Sheet (Anticipated Questions &amp; Winning Answers)</w:t>
      </w:r>
    </w:p>
    <w:p>
      <w:pPr>
        <w:spacing w:before="80" w:after="80"/>
      </w:pPr>
      <w:r>
        <w:rPr>
          <w:b/>
          <w:color w:val="0F766E"/>
          <w:sz w:val="24"/>
        </w:rPr>
        <w:t xml:space="preserve">Q1: "How is this a true 'Digital Twin' and not just a static risk calculator?"</w:t>
      </w:r>
    </w:p>
    <w:p>
      <w:pPr>
        <w:spacing w:before="80" w:after="80"/>
      </w:pPr>
      <w:r>
        <w:rPr>
          <w:color w:val="111827"/>
          <w:sz w:val="22"/>
        </w:rPr>
        <w:t xml:space="preserve">• Answer: A static calculator takes a single row of numbers and outputs a score without memory. CogniTwin maintains a persistent, time-indexed state representation (DailyPatientStateEngine) in SQLite that:</w:t>
      </w:r>
    </w:p>
    <w:p>
      <w:pPr>
        <w:spacing w:before="80" w:after="80"/>
      </w:pPr>
      <w:r>
        <w:rPr>
          <w:color w:val="111827"/>
          <w:sz w:val="22"/>
        </w:rPr>
        <w:t xml:space="preserve">1. Learns a personal physiological baseline per patient (Days 1–3).</w:t>
      </w:r>
    </w:p>
    <w:p>
      <w:pPr>
        <w:spacing w:before="80" w:after="80"/>
      </w:pPr>
      <w:r>
        <w:rPr>
          <w:color w:val="111827"/>
          <w:sz w:val="22"/>
        </w:rPr>
        <w:t xml:space="preserve">2. Continuously ingests streaming daily observations (Day 8+) and updates 3-day and 7-day rolling means and trajectory slopes.</w:t>
      </w:r>
    </w:p>
    <w:p>
      <w:pPr>
        <w:spacing w:before="80" w:after="80"/>
      </w:pPr>
      <w:r>
        <w:rPr>
          <w:color w:val="111827"/>
          <w:sz w:val="22"/>
        </w:rPr>
        <w:t xml:space="preserve">3. Tracks deterministic state transitions (comparestates between Day A and Day B).</w:t>
      </w:r>
    </w:p>
    <w:p>
      <w:pPr>
        <w:spacing w:before="80" w:after="80"/>
      </w:pPr>
      <w:r>
        <w:rPr>
          <w:color w:val="111827"/>
          <w:sz w:val="22"/>
        </w:rPr>
        <w:t xml:space="preserve">4. Runs counterfactual What-If simulations over the twin's current state vector.</w:t>
      </w:r>
    </w:p>
    <w:p>
      <w:pPr>
        <w:spacing w:before="80" w:after="80"/>
      </w:pPr>
      <w:r>
        <w:rPr>
          <w:b/>
          <w:color w:val="0F766E"/>
          <w:sz w:val="24"/>
        </w:rPr>
        <w:t xml:space="preserve">Q2: "Your ROC-AUC is 0.982. How do we know there is no data leakage?"</w:t>
      </w:r>
    </w:p>
    <w:p>
      <w:pPr>
        <w:spacing w:before="80" w:after="80"/>
      </w:pPr>
      <w:r>
        <w:rPr>
          <w:color w:val="111827"/>
          <w:sz w:val="22"/>
        </w:rPr>
        <w:t xml:space="preserve">• Answer: We enforced four strict anti-leakage safeguards verified by automated unit tests in tests/testdigitaltwin.py:</w:t>
      </w:r>
    </w:p>
    <w:p>
      <w:pPr>
        <w:spacing w:before="80" w:after="80"/>
      </w:pPr>
      <w:r>
        <w:rPr>
          <w:color w:val="111827"/>
          <w:sz w:val="22"/>
        </w:rPr>
        <w:t xml:space="preserve">1. Subject-Grouped Splitting: Cross-validation splits strictly by patientid so no patient's observations ever span train and validation sets.</w:t>
      </w:r>
    </w:p>
    <w:p>
      <w:pPr>
        <w:spacing w:before="80" w:after="80"/>
      </w:pPr>
      <w:r>
        <w:rPr>
          <w:color w:val="111827"/>
          <w:sz w:val="22"/>
        </w:rPr>
        <w:t xml:space="preserve">2. In-Fold Preprocessing: SimpleImputer, StandardScaler, and CalibratedClassifierCV are wrapped inside a scikit-learn Pipeline and fitted strictly within each training fold.</w:t>
      </w:r>
    </w:p>
    <w:p>
      <w:pPr>
        <w:spacing w:before="80" w:after="80"/>
      </w:pPr>
      <w:r>
        <w:rPr>
          <w:color w:val="111827"/>
          <w:sz w:val="22"/>
        </w:rPr>
        <w:t xml:space="preserve">3. Explicit Latent Variable Stripping: predictionpipeline.py explicitly strips generator variables (syntheticeventprobability, latentrisk, RiskScore) before training.</w:t>
      </w:r>
    </w:p>
    <w:p>
      <w:pPr>
        <w:spacing w:before="80" w:after="80"/>
      </w:pPr>
      <w:r>
        <w:rPr>
          <w:color w:val="111827"/>
          <w:sz w:val="22"/>
        </w:rPr>
        <w:t xml:space="preserve">4. Temporal Causality: Historical state computation at Day $t$ slices observations strictly up to sortedobs[:idx + 1].</w:t>
      </w:r>
    </w:p>
    <w:p>
      <w:pPr>
        <w:spacing w:before="80" w:after="80"/>
      </w:pPr>
      <w:r>
        <w:rPr>
          <w:b/>
          <w:color w:val="0F766E"/>
          <w:sz w:val="24"/>
        </w:rPr>
        <w:t xml:space="preserve">Q3: "Why use Calibrated Logistic Regression instead of a deep neural network?"</w:t>
      </w:r>
    </w:p>
    <w:p>
      <w:pPr>
        <w:spacing w:before="80" w:after="80"/>
      </w:pPr>
      <w:r>
        <w:rPr>
          <w:color w:val="111827"/>
          <w:sz w:val="22"/>
        </w:rPr>
        <w:t xml:space="preserve">• Answer: Following clinical AI best practices:</w:t>
      </w:r>
    </w:p>
    <w:p>
      <w:pPr>
        <w:spacing w:before="80" w:after="80"/>
      </w:pPr>
      <w:r>
        <w:rPr>
          <w:color w:val="111827"/>
          <w:sz w:val="22"/>
        </w:rPr>
        <w:t xml:space="preserve">1. On structured physiological &amp; EHR tabular features, a well-engineered model with temporal slopes achieves 0.982 ROC-AUC and 0.044 Brier Score without overfitting small cohorts.</w:t>
      </w:r>
    </w:p>
    <w:p>
      <w:pPr>
        <w:spacing w:before="80" w:after="80"/>
      </w:pPr>
      <w:r>
        <w:rPr>
          <w:color w:val="111827"/>
          <w:sz w:val="22"/>
        </w:rPr>
        <w:t xml:space="preserve">2. Platt Sigmoid Calibration ensures that a predicted 70% risk actually corresponds to a 70% empirical event rate, which uncalibrated deep networks fail to provide.</w:t>
      </w:r>
    </w:p>
    <w:p>
      <w:pPr>
        <w:spacing w:before="80" w:after="80"/>
      </w:pPr>
      <w:r>
        <w:rPr>
          <w:color w:val="111827"/>
          <w:sz w:val="22"/>
        </w:rPr>
        <w:t xml:space="preserve">3. Auditability: Clinicians get exact, monotonic directional attributions and instant counterfactual responses without GPU latency.</w:t>
      </w:r>
    </w:p>
    <w:p>
      <w:pPr>
        <w:spacing w:before="80" w:after="80"/>
      </w:pPr>
      <w:r>
        <w:rPr>
          <w:b/>
          <w:color w:val="0F766E"/>
          <w:sz w:val="24"/>
        </w:rPr>
        <w:t xml:space="preserve">Q4: "How do you handle noisy smartwatch sensors or patients forgetting to wear their device?"</w:t>
      </w:r>
    </w:p>
    <w:p>
      <w:pPr>
        <w:spacing w:before="80" w:after="80"/>
      </w:pPr>
      <w:r>
        <w:rPr>
          <w:color w:val="111827"/>
          <w:sz w:val="22"/>
        </w:rPr>
        <w:t xml:space="preserve">• Answer: Every daily wearable payload includes a dataqualityscore ($0.0 - 1.0$) validated by Pydantic schemas (schemas.py). If signal quality drops below 0.65 (as demonstrated in Persona 3 / PT-0003), the state engine overrides physiological alerts and transitions to DATAQUALITYALERT, preventing false clinical escalations from partial wear time.</w:t>
      </w:r>
    </w:p>
    <w:p>
      <w:pPr>
        <w:spacing w:before="80" w:after="80"/>
      </w:pPr>
      <w:r>
        <w:rPr>
          <w:b/>
          <w:color w:val="0F766E"/>
          <w:sz w:val="24"/>
        </w:rPr>
        <w:t xml:space="preserve">Q5: "How does this fit into real-world Indian healthcare workflows?"</w:t>
      </w:r>
    </w:p>
    <w:p>
      <w:pPr>
        <w:spacing w:before="80" w:after="80"/>
      </w:pPr>
      <w:r>
        <w:rPr>
          <w:color w:val="111827"/>
          <w:sz w:val="22"/>
        </w:rPr>
        <w:t xml:space="preserve">• Answer:</w:t>
      </w:r>
    </w:p>
    <w:p>
      <w:pPr>
        <w:spacing w:before="80" w:after="80"/>
      </w:pPr>
      <w:r>
        <w:rPr>
          <w:color w:val="111827"/>
          <w:sz w:val="22"/>
        </w:rPr>
        <w:t xml:space="preserve">1. Multilingual Patient Interface: Supports English, Hindi (हिन्दी), and Marathi (मराठी) with localized cognitive recall word lists so elderly patients can self-screen comfortably.</w:t>
      </w:r>
    </w:p>
    <w:p>
      <w:pPr>
        <w:spacing w:before="80" w:after="80"/>
      </w:pPr>
      <w:r>
        <w:rPr>
          <w:color w:val="111827"/>
          <w:sz w:val="22"/>
        </w:rPr>
        <w:t xml:space="preserve">2. Zero-Cloud Audio Privacy: Speech biomarker extraction runs locally (faster-whisper), preserving patient privacy.</w:t>
      </w:r>
    </w:p>
    <w:p>
      <w:pPr>
        <w:spacing w:before="80" w:after="80"/>
      </w:pPr>
      <w:r>
        <w:rPr>
          <w:color w:val="111827"/>
          <w:sz w:val="22"/>
        </w:rPr>
        <w:t xml:space="preserve">3. Actionable Triage (/clinics): Connects elevated-risk screenings directly to verified memory clinics and neurology centers across Pune, while exporting standard HL7 FHIR R4 Bundles for clinicians.</w:t>
      </w:r>
    </w:p>
    <w:sectPr>
      <w:pgSz w:w="12240" w:h="15840"/>
      <w:pgMar w:top="1440" w:right="1440" w:bottom="1440" w:left="1440"/>
    </w:sectPr>
  </w:body>
</w:document>
</file>