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b/>
          <w:bCs/>
          <w:color w:val="1A237E"/>
          <w:sz w:val="40"/>
          <w:szCs w:val="40"/>
        </w:rPr>
        <w:t xml:space="preserve">CRITICAL FEASIBILITY ANALYSIS</w:t>
      </w:r>
    </w:p>
    <w:p>
      <w:pPr>
        <w:spacing w:after="100" w:before="0"/>
        <w:jc w:val="center"/>
      </w:pPr>
      <w:r>
        <w:rPr>
          <w:b/>
          <w:bCs/>
          <w:color w:val="2E4057"/>
          <w:sz w:val="30"/>
          <w:szCs w:val="30"/>
        </w:rPr>
        <w:t xml:space="preserve">Decentralized Crypto World Bank</w:t>
      </w:r>
    </w:p>
    <w:p>
      <w:pPr>
        <w:spacing w:after="600" w:before="0"/>
        <w:jc w:val="center"/>
      </w:pPr>
      <w:r>
        <w:rPr>
          <w:i/>
          <w:iCs/>
          <w:color w:val="555555"/>
          <w:sz w:val="22"/>
          <w:szCs w:val="22"/>
        </w:rPr>
        <w:t xml:space="preserve">A Blockchain-Based Banking Platform with AI-Enhanced Security and Assistance</w:t>
      </w:r>
    </w:p>
    <w:p>
      <w:pPr>
        <w:spacing w:after="100" w:before="0"/>
        <w:jc w:val="center"/>
      </w:pPr>
      <w:r>
        <w:rPr>
          <w:color w:val="666666"/>
          <w:sz w:val="20"/>
          <w:szCs w:val="20"/>
        </w:rPr>
        <w:t xml:space="preserve">Independent Critical Review | May 2026</w:t>
      </w:r>
    </w:p>
    <w:p>
      <w:pPr>
        <w:spacing w:after="80" w:before="0"/>
        <w:jc w:val="center"/>
      </w:pPr>
      <w:r>
        <w:rPr>
          <w:color w:val="666666"/>
          <w:sz w:val="20"/>
          <w:szCs w:val="20"/>
        </w:rPr>
        <w:t xml:space="preserve">Pre-Thesis v22  |  BRAC University, Department of CSE</w:t>
      </w:r>
    </w:p>
    <w:p>
      <w:pPr>
        <w:pBdr>
          <w:bottom w:val="single" w:color="C62828" w:sz="6" w:space="1"/>
        </w:pBdr>
        <w:spacing w:after="0" w:before="400"/>
        <w:jc w:val="center"/>
      </w:pPr>
      <w:r>
        <w:t xml:space="preserve"/>
      </w:r>
    </w:p>
    <w:p>
      <w:r>
        <w:br w:type="page"/>
      </w:r>
    </w:p>
    <w:p>
      <w:pPr>
        <w:pStyle w:val="Heading1"/>
        <w:spacing w:after="120" w:before="360"/>
      </w:pPr>
      <w:r>
        <w:rPr>
          <w:b/>
          <w:bCs/>
          <w:color w:val="1A237E"/>
          <w:sz w:val="32"/>
          <w:szCs w:val="32"/>
        </w:rPr>
        <w:t xml:space="preserve">EXECUTIVE SUMMARY</w:t>
      </w:r>
    </w:p>
    <w:p>
      <w:pPr>
        <w:spacing w:after="120" w:before="80"/>
      </w:pPr>
      <w:r>
        <w:rPr>
          <w:sz w:val="22"/>
          <w:szCs w:val="22"/>
        </w:rPr>
        <w:t xml:space="preserve">This report delivers a comprehensive critical analysis of the feasibility study contained in the Crypto World Bank (CWB) pre-thesis v22. The analysis spans economic, technical, regulatory, market, and system-design dimensions, drawing on independent online research conducted in May 2026. While the thesis demonstrates impressive intellectual ambition and strong technical literacy, the feasibility study contains significant overestimations, undefended assumptions, and structural weaknesses that would make this project vulnerable to serious criticism from academic examiners, potential investors, or regulatory reviewers.</w:t>
      </w:r>
    </w:p>
    <w:p>
      <w:pPr>
        <w:spacing w:after="120" w:before="80"/>
      </w:pPr>
      <w:r>
        <w:rPr>
          <w:sz w:val="22"/>
          <w:szCs w:val="22"/>
        </w:rPr>
        <w:t xml:space="preserve">The core problem is the gap between the breadth of what is claimed (15 contracts, 4-tier hierarchy, AI/ML, ZKP, federated learning, formal verification, NettingEngine — all in two final sprints) and the depth at which feasibility is actually demonstrated. The economic model rests on a revenue projection that assumes full-scale deployment without a credible path to get there. The primary target market, Bangladesh, has a regulatory environment that makes the core product legally non-deployable in the near term. Key technical claims rely on tools that are far more complex in practice than the thesis acknowledges.</w:t>
      </w:r>
    </w:p>
    <w:p>
      <w:pPr>
        <w:spacing w:after="60" w:before="60"/>
      </w:pPr>
      <w:r>
        <w:t xml:space="preserve"/>
      </w:r>
    </w:p>
    <w:p>
      <w:pPr>
        <w:spacing w:after="200" w:before="120"/>
      </w:pPr>
      <w:r>
        <w:rPr>
          <w:b/>
          <w:bCs/>
          <w:color w:val="1A237E"/>
          <w:sz w:val="24"/>
          <w:szCs w:val="24"/>
        </w:rPr>
        <w:t xml:space="preserve">Summary Verdict by Domain:</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200"/>
        <w:gridCol w:w="3500"/>
        <w:gridCol w:w="2560"/>
      </w:tblGrid>
      <w:tr>
        <w:trPr>
          <w:tblHeader/>
        </w:trPr>
        <w:tc>
          <w:tcPr>
            <w:tcW w:type="dxa" w:w="3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Domain</w:t>
            </w:r>
          </w:p>
        </w:tc>
        <w:tc>
          <w:tcPr>
            <w:tcW w:type="dxa" w:w="3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Overall Assessment</w:t>
            </w:r>
          </w:p>
        </w:tc>
        <w:tc>
          <w:tcPr>
            <w:tcW w:type="dxa" w:w="25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Critical Risk Level</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Economic Feasibility</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Overly optimistic; revenue model has structural errors</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Technical Feasibility</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Credible prototype; implementation roadmap is dangerously compressed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Regulatory Feasibility</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Primary market (Bangladesh) is legally unworkable without major caveats</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CRITICAL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Market Analysis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No customer acquisition cost analysis; partner ecosystem is theoretical</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MEDIUM-HIGH</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System Architecture</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15-contract scope in 2 sprints is not realistic; several design vulnerabilities</w:t>
            </w:r>
          </w:p>
        </w:tc>
        <w:tc>
          <w:tcPr>
            <w:tcW w:type="dxa" w:w="2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AI/ML Claims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Reasonable design; no demonstrated performance metrics on real data</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MEDIUM</w:t>
            </w:r>
          </w:p>
        </w:tc>
      </w:tr>
    </w:tbl>
    <w:p>
      <w:pPr>
        <w:spacing w:after="60" w:before="60"/>
      </w:pPr>
      <w:r>
        <w:t xml:space="preserve"/>
      </w:r>
    </w:p>
    <w:p>
      <w:r>
        <w:br w:type="page"/>
      </w:r>
    </w:p>
    <w:p>
      <w:pPr>
        <w:pStyle w:val="Heading1"/>
        <w:spacing w:after="120" w:before="360"/>
      </w:pPr>
      <w:r>
        <w:rPr>
          <w:b/>
          <w:bCs/>
          <w:color w:val="1A237E"/>
          <w:sz w:val="32"/>
          <w:szCs w:val="32"/>
        </w:rPr>
        <w:t xml:space="preserve">1. ECONOMIC FEASIBILITY — CRITICAL WEAKNESSES</w:t>
      </w:r>
    </w:p>
    <w:p>
      <w:pPr>
        <w:pStyle w:val="Heading2"/>
        <w:spacing w:after="100" w:before="280"/>
      </w:pPr>
      <w:r>
        <w:rPr>
          <w:b/>
          <w:bCs/>
          <w:color w:val="2E4057"/>
          <w:sz w:val="26"/>
          <w:szCs w:val="26"/>
        </w:rPr>
        <w:t xml:space="preserve">1.1 Revenue Projection: Structural Errors and Circular Logic</w:t>
      </w:r>
    </w:p>
    <w:p>
      <w:pPr>
        <w:spacing w:after="120" w:before="80"/>
      </w:pPr>
      <w:r>
        <w:rPr>
          <w:sz w:val="22"/>
          <w:szCs w:val="22"/>
        </w:rPr>
        <w:t xml:space="preserve">The thesis projects $137.6M in annual interest-spread revenue (base case) on a $1.72B loan base. This is the most consequential number in the entire feasibility study, and it is largely circular: the loan base assumes full deployment of 1 World Bank, 5 National Banks, and 50 Local Banks at near-full utilization. There is no demonstration of how this deployment scale is achieved, how long it takes, or what it costs to get there.</w:t>
      </w:r>
    </w:p>
    <w:p>
      <w:pPr>
        <w:pBdr>
          <w:left w:val="single" w:color="C62828" w:sz="12" w:space="6"/>
        </w:pBdr>
        <w:spacing w:after="120" w:before="120"/>
        <w:ind w:left="360"/>
      </w:pPr>
      <w:r>
        <w:rPr>
          <w:b/>
          <w:bCs/>
          <w:color w:val="C62828"/>
          <w:sz w:val="22"/>
          <w:szCs w:val="22"/>
        </w:rPr>
        <w:t xml:space="preserve">Core Flaw: </w:t>
      </w:r>
      <w:r>
        <w:rPr>
          <w:i/>
          <w:iCs/>
          <w:sz w:val="22"/>
          <w:szCs w:val="22"/>
        </w:rPr>
        <w:t xml:space="preserve">The revenue projection begins with the conclusion. It models a fully-deployed network as though it already exists and then calculates revenue backward from that assumption. A credible feasibility study would model the revenue trajectory from zero users to full scale, including time, cost, and adoption milestones.</w:t>
      </w:r>
    </w:p>
    <w:p>
      <w:pPr>
        <w:pStyle w:val="ListParagraph"/>
        <w:numPr>
          <w:ilvl w:val="0"/>
          <w:numId w:val="2"/>
        </w:numPr>
        <w:spacing w:after="40" w:before="40"/>
      </w:pPr>
      <w:r>
        <w:rPr>
          <w:sz w:val="22"/>
          <w:szCs w:val="22"/>
        </w:rPr>
        <w:t xml:space="preserve">The $1.72B total loan base (at $2,500/ETH) requires approximately 68,800 retail loans of 10 ETH each — or an equivalent institutional volume. The thesis provides no user acquisition timeline.</w:t>
      </w:r>
    </w:p>
    <w:p>
      <w:pPr>
        <w:pStyle w:val="ListParagraph"/>
        <w:numPr>
          <w:ilvl w:val="0"/>
          <w:numId w:val="2"/>
        </w:numPr>
        <w:spacing w:after="40" w:before="40"/>
      </w:pPr>
      <w:r>
        <w:rPr>
          <w:sz w:val="22"/>
          <w:szCs w:val="22"/>
        </w:rPr>
        <w:t xml:space="preserve">The break-even analysis states "approximately 200 active loans" is needed, which contradicts the revenue model that requires tens of thousands of active loans to reach $137.6M.</w:t>
      </w:r>
    </w:p>
    <w:p>
      <w:pPr>
        <w:pStyle w:val="ListParagraph"/>
        <w:numPr>
          <w:ilvl w:val="0"/>
          <w:numId w:val="2"/>
        </w:numPr>
        <w:spacing w:after="40" w:before="40"/>
      </w:pPr>
      <w:r>
        <w:rPr>
          <w:sz w:val="22"/>
          <w:szCs w:val="22"/>
        </w:rPr>
        <w:t xml:space="preserve">No Customer Acquisition Cost (CAC) analysis exists. Onboarding unbanked retail clients in rural Bangladesh onto a crypto platform requires field agents, education programs, language support, and device subsidies — none of which appear in the cost model.</w:t>
      </w:r>
    </w:p>
    <w:p>
      <w:pPr>
        <w:pStyle w:val="ListParagraph"/>
        <w:numPr>
          <w:ilvl w:val="0"/>
          <w:numId w:val="2"/>
        </w:numPr>
        <w:spacing w:after="40" w:before="40"/>
      </w:pPr>
      <w:r>
        <w:rPr>
          <w:sz w:val="22"/>
          <w:szCs w:val="22"/>
        </w:rPr>
        <w:t xml:space="preserve">No churn or loan recycling rate is modeled. If the average loan term is 12 months, maintaining $1.72B in active loans requires continuous re-lending of that capital.</w:t>
      </w:r>
    </w:p>
    <w:p>
      <w:pPr>
        <w:spacing w:after="60" w:before="60"/>
      </w:pPr>
      <w:r>
        <w:t xml:space="preserve"/>
      </w:r>
    </w:p>
    <w:p>
      <w:pPr>
        <w:pStyle w:val="Heading2"/>
        <w:spacing w:after="100" w:before="280"/>
      </w:pPr>
      <w:r>
        <w:rPr>
          <w:b/>
          <w:bCs/>
          <w:color w:val="2E4057"/>
          <w:sz w:val="26"/>
          <w:szCs w:val="26"/>
        </w:rPr>
        <w:t xml:space="preserve">1.2 Default Rate Assumptions: Fatally Optimistic</w:t>
      </w:r>
    </w:p>
    <w:p>
      <w:pPr>
        <w:spacing w:after="120" w:before="80"/>
      </w:pPr>
      <w:r>
        <w:rPr>
          <w:sz w:val="22"/>
          <w:szCs w:val="22"/>
        </w:rPr>
        <w:t xml:space="preserve">The thesis uses a base-case default rate of 8% and an optimistic scenario of 3.7%, citing Grameen Bank's 96.29% recovery rate. This is a serious misuse of source material that a supervisor or examiner will likely challenge directly.</w:t>
      </w:r>
    </w:p>
    <w:p>
      <w:pPr>
        <w:pBdr>
          <w:left w:val="single" w:color="C62828" w:sz="12" w:space="6"/>
        </w:pBdr>
        <w:spacing w:after="120" w:before="120"/>
        <w:ind w:left="360"/>
      </w:pPr>
      <w:r>
        <w:rPr>
          <w:b/>
          <w:bCs/>
          <w:color w:val="C62828"/>
          <w:sz w:val="22"/>
          <w:szCs w:val="22"/>
        </w:rPr>
        <w:t xml:space="preserve">Research Finding: </w:t>
      </w:r>
      <w:r>
        <w:rPr>
          <w:i/>
          <w:iCs/>
          <w:sz w:val="22"/>
          <w:szCs w:val="22"/>
        </w:rPr>
        <w:t xml:space="preserve">Real-world undercollateralized DeFi lending defaults have historically run far above 8%. Maple Finance — the closest comparable — experienced $52M in defaults in 2022 alone. The thesis itself acknowledges on-chain group lending cannot replicate Grameen's social pressure mechanisms that drive the 96.29% figure.</w:t>
      </w:r>
    </w:p>
    <w:p>
      <w:pPr>
        <w:pStyle w:val="ListParagraph"/>
        <w:numPr>
          <w:ilvl w:val="0"/>
          <w:numId w:val="2"/>
        </w:numPr>
        <w:spacing w:after="40" w:before="40"/>
      </w:pPr>
      <w:r>
        <w:rPr>
          <w:sz w:val="22"/>
          <w:szCs w:val="22"/>
        </w:rPr>
        <w:t xml:space="preserve">The 3.7% optimistic scenario (citing Grameen) is indefensible for a nascent DeFi platform. Grameen has 48 years of social infrastructure, field officers, community accountability networks, and weekly physical meetings.</w:t>
      </w:r>
    </w:p>
    <w:p>
      <w:pPr>
        <w:pStyle w:val="ListParagraph"/>
        <w:numPr>
          <w:ilvl w:val="0"/>
          <w:numId w:val="2"/>
        </w:numPr>
        <w:spacing w:after="40" w:before="40"/>
      </w:pPr>
      <w:r>
        <w:rPr>
          <w:sz w:val="22"/>
          <w:szCs w:val="22"/>
        </w:rPr>
        <w:t xml:space="preserve">The thesis acknowledges 'initial default rates on-chain are expected to be lower until credit history accumulates' and later estimates 8-15% for on-chain lending. The optimistic scenario should therefore be 8%, with the stress test at 20-25%, not 15%.</w:t>
      </w:r>
    </w:p>
    <w:p>
      <w:pPr>
        <w:pStyle w:val="ListParagraph"/>
        <w:numPr>
          <w:ilvl w:val="0"/>
          <w:numId w:val="2"/>
        </w:numPr>
        <w:spacing w:after="40" w:before="40"/>
      </w:pPr>
      <w:r>
        <w:rPr>
          <w:sz w:val="22"/>
          <w:szCs w:val="22"/>
        </w:rPr>
        <w:t xml:space="preserve">Break-even is stated as 11.2% default rate. Under the thesis's own stress-test assumptions (15%), the platform loses money. This is not adequately disclosed as a feasibility risk.</w:t>
      </w:r>
    </w:p>
    <w:p>
      <w:pPr>
        <w:pStyle w:val="ListParagraph"/>
        <w:numPr>
          <w:ilvl w:val="0"/>
          <w:numId w:val="2"/>
        </w:numPr>
        <w:spacing w:after="40" w:before="40"/>
      </w:pPr>
      <w:r>
        <w:rPr>
          <w:sz w:val="22"/>
          <w:szCs w:val="22"/>
        </w:rPr>
        <w:t xml:space="preserve">The thesis does not model the correlation between ETH price drops and increased defaults. When ETH declines 50% (as it did in 2021 and 2022), borrowers facing higher real debt burdens default at much higher rates — even in stablecoin-denominated loans, collateral values collapse.</w:t>
      </w:r>
    </w:p>
    <w:p>
      <w:pPr>
        <w:spacing w:after="60" w:before="60"/>
      </w:pPr>
      <w:r>
        <w:t xml:space="preserve"/>
      </w:r>
    </w:p>
    <w:p>
      <w:pPr>
        <w:pStyle w:val="Heading2"/>
        <w:spacing w:after="100" w:before="280"/>
      </w:pPr>
      <w:r>
        <w:rPr>
          <w:b/>
          <w:bCs/>
          <w:color w:val="2E4057"/>
          <w:sz w:val="26"/>
          <w:szCs w:val="26"/>
        </w:rPr>
        <w:t xml:space="preserve">1.3 Interest Rate Competitiveness: Unexamined</w:t>
      </w:r>
    </w:p>
    <w:p>
      <w:pPr>
        <w:spacing w:after="120" w:before="80"/>
      </w:pPr>
      <w:r>
        <w:rPr>
          <w:sz w:val="22"/>
          <w:szCs w:val="22"/>
        </w:rPr>
        <w:t xml:space="preserve">The 8% APR retail lending rate is presented without comparison to the actual competitive landscape in Bangladesh. Grameen Bank charges approximately 20-27% APR. BRAC charges 27%. Informal money lenders in rural Bangladesh charge 36-120% APR. At 8%, the platform is pricing below all formal sector alternatives.</w:t>
      </w:r>
    </w:p>
    <w:p>
      <w:pPr>
        <w:pStyle w:val="ListParagraph"/>
        <w:numPr>
          <w:ilvl w:val="0"/>
          <w:numId w:val="2"/>
        </w:numPr>
        <w:spacing w:after="40" w:before="40"/>
      </w:pPr>
      <w:r>
        <w:rPr>
          <w:sz w:val="22"/>
          <w:szCs w:val="22"/>
        </w:rPr>
        <w:t xml:space="preserve">An 8% APR may be below the cost of capital once default losses, gas subsidies, operational infrastructure, oracle costs, and Chainlink Functions fees are included.</w:t>
      </w:r>
    </w:p>
    <w:p>
      <w:pPr>
        <w:pStyle w:val="ListParagraph"/>
        <w:numPr>
          <w:ilvl w:val="0"/>
          <w:numId w:val="2"/>
        </w:numPr>
        <w:spacing w:after="40" w:before="40"/>
      </w:pPr>
      <w:r>
        <w:rPr>
          <w:sz w:val="22"/>
          <w:szCs w:val="22"/>
        </w:rPr>
        <w:t xml:space="preserve">No sensitivity analysis tests whether the platform remains profitable at 5% APR (a rate that might emerge from competitive market pressure) or whether 8% is a floor necessary for viability.</w:t>
      </w:r>
    </w:p>
    <w:p>
      <w:pPr>
        <w:pStyle w:val="ListParagraph"/>
        <w:numPr>
          <w:ilvl w:val="0"/>
          <w:numId w:val="2"/>
        </w:numPr>
        <w:spacing w:after="40" w:before="40"/>
      </w:pPr>
      <w:r>
        <w:rPr>
          <w:sz w:val="22"/>
          <w:szCs w:val="22"/>
        </w:rPr>
        <w:t xml:space="preserve">The late payment penalty (capped at 10%) combined with a 2-week grace period creates a borrower incentive to strategically delay — not modeled.</w:t>
      </w:r>
    </w:p>
    <w:p>
      <w:pPr>
        <w:spacing w:after="60" w:before="60"/>
      </w:pPr>
      <w:r>
        <w:t xml:space="preserve"/>
      </w:r>
    </w:p>
    <w:p>
      <w:pPr>
        <w:pStyle w:val="Heading2"/>
        <w:spacing w:after="100" w:before="280"/>
      </w:pPr>
      <w:r>
        <w:rPr>
          <w:b/>
          <w:bCs/>
          <w:color w:val="2E4057"/>
          <w:sz w:val="26"/>
          <w:szCs w:val="26"/>
        </w:rPr>
        <w:t xml:space="preserve">1.4 Bootstrap Funding: No Credible Capitalization Plan</w:t>
      </w:r>
    </w:p>
    <w:p>
      <w:pPr>
        <w:spacing w:after="120" w:before="80"/>
      </w:pPr>
      <w:r>
        <w:rPr>
          <w:sz w:val="22"/>
          <w:szCs w:val="22"/>
        </w:rPr>
        <w:t xml:space="preserve">The thesis identifies the "bootstrap funding problem" but the proposed solutions are vague to the point of being non-functional. The three mechanisms proposed are founding stakeholder deposits, protocol-owned liquidity (POL), and philanthropic grants.</w:t>
      </w:r>
    </w:p>
    <w:p>
      <w:pPr>
        <w:pBdr>
          <w:left w:val="single" w:color="C62828" w:sz="12" w:space="6"/>
        </w:pBdr>
        <w:spacing w:after="120" w:before="120"/>
        <w:ind w:left="360"/>
      </w:pPr>
      <w:r>
        <w:rPr>
          <w:b/>
          <w:bCs/>
          <w:color w:val="C62828"/>
          <w:sz w:val="22"/>
          <w:szCs w:val="22"/>
        </w:rPr>
        <w:t xml:space="preserve">Key Gap: </w:t>
      </w:r>
      <w:r>
        <w:rPr>
          <w:i/>
          <w:iCs/>
          <w:sz w:val="22"/>
          <w:szCs w:val="22"/>
        </w:rPr>
        <w:t xml:space="preserve">The thesis references the World Bank Group's $270B+ subscribed capital as a precedent for Tier 1 capitalization — achieved through 44 member-state subscriptions negotiated at Bretton Woods in 1944. This is not a reproducible funding model for a student project.</w:t>
      </w:r>
    </w:p>
    <w:p>
      <w:pPr>
        <w:pStyle w:val="ListParagraph"/>
        <w:numPr>
          <w:ilvl w:val="0"/>
          <w:numId w:val="2"/>
        </w:numPr>
        <w:spacing w:after="40" w:before="40"/>
      </w:pPr>
      <w:r>
        <w:rPr>
          <w:sz w:val="22"/>
          <w:szCs w:val="22"/>
        </w:rPr>
        <w:t xml:space="preserve">"Founding stakeholder deposits" from "universities, NGOs, and development-focused blockchain organizations" — no such organizations are named, no LOIs cited.</w:t>
      </w:r>
    </w:p>
    <w:p>
      <w:pPr>
        <w:pStyle w:val="ListParagraph"/>
        <w:numPr>
          <w:ilvl w:val="0"/>
          <w:numId w:val="2"/>
        </w:numPr>
        <w:spacing w:after="40" w:before="40"/>
      </w:pPr>
      <w:r>
        <w:rPr>
          <w:sz w:val="22"/>
          <w:szCs w:val="22"/>
        </w:rPr>
        <w:t xml:space="preserve">Protocol-Owned Liquidity via bond mechanisms requires a functional token, a governance structure, and market liquidity. These require months to years to establish and involve securities law implications.</w:t>
      </w:r>
    </w:p>
    <w:p>
      <w:pPr>
        <w:pStyle w:val="ListParagraph"/>
        <w:numPr>
          <w:ilvl w:val="0"/>
          <w:numId w:val="2"/>
        </w:numPr>
        <w:spacing w:after="40" w:before="40"/>
      </w:pPr>
      <w:r>
        <w:rPr>
          <w:sz w:val="22"/>
          <w:szCs w:val="22"/>
        </w:rPr>
        <w:t xml:space="preserve">The Olympus DAO cautionary note is correctly included, but the alternative (fully-backed USDC bonds) still requires external buyers to exchange USDC for discounted governance tokens on a vesting schedule — a sophisticated institutional DeFi operation far beyond prototype scope.</w:t>
      </w:r>
    </w:p>
    <w:p>
      <w:pPr>
        <w:spacing w:after="60" w:before="60"/>
      </w:pPr>
      <w:r>
        <w:t xml:space="preserve"/>
      </w:r>
    </w:p>
    <w:p>
      <w:pPr>
        <w:pStyle w:val="Heading2"/>
        <w:spacing w:after="100" w:before="280"/>
      </w:pPr>
      <w:r>
        <w:rPr>
          <w:b/>
          <w:bCs/>
          <w:color w:val="2E4057"/>
          <w:sz w:val="26"/>
          <w:szCs w:val="26"/>
        </w:rPr>
        <w:t xml:space="preserve">1.5 Gas Cost Analysis: Incomplete</w:t>
      </w:r>
    </w:p>
    <w:p>
      <w:pPr>
        <w:spacing w:after="120" w:before="80"/>
      </w:pPr>
      <w:r>
        <w:rPr>
          <w:sz w:val="22"/>
          <w:szCs w:val="22"/>
        </w:rPr>
        <w:t xml:space="preserve">The gas cost analysis is presented as a strength of the thesis but contains omissions that significantly understate total on-chain costs at scale.</w:t>
      </w:r>
    </w:p>
    <w:p>
      <w:pPr>
        <w:pStyle w:val="ListParagraph"/>
        <w:numPr>
          <w:ilvl w:val="0"/>
          <w:numId w:val="2"/>
        </w:numPr>
        <w:spacing w:after="40" w:before="40"/>
      </w:pPr>
      <w:r>
        <w:rPr>
          <w:sz w:val="22"/>
          <w:szCs w:val="22"/>
        </w:rPr>
        <w:t xml:space="preserve">Chainlink Functions calls for oracle data are priced at $0.10-$1.00 each (acknowledged in the thesis). For 68,800 active loans, each requiring at minimum one oracle call, this adds $6,880-$68,800 in oracle costs annually — not counted in the cost model.</w:t>
      </w:r>
    </w:p>
    <w:p>
      <w:pPr>
        <w:pStyle w:val="ListParagraph"/>
        <w:numPr>
          <w:ilvl w:val="0"/>
          <w:numId w:val="2"/>
        </w:numPr>
        <w:spacing w:after="40" w:before="40"/>
      </w:pPr>
      <w:r>
        <w:rPr>
          <w:sz w:val="22"/>
          <w:szCs w:val="22"/>
        </w:rPr>
        <w:t xml:space="preserve">Failed transactions are not modeled. In DeFi, 5-15% of complex multi-step transactions fail due to gas estimation errors, network congestion, or race conditions. Failed transactions still consume gas on Polygon (~$0.001-$0.01 each).</w:t>
      </w:r>
    </w:p>
    <w:p>
      <w:pPr>
        <w:pStyle w:val="ListParagraph"/>
        <w:numPr>
          <w:ilvl w:val="0"/>
          <w:numId w:val="2"/>
        </w:numPr>
        <w:spacing w:after="40" w:before="40"/>
      </w:pPr>
      <w:r>
        <w:rPr>
          <w:sz w:val="22"/>
          <w:szCs w:val="22"/>
        </w:rPr>
        <w:t xml:space="preserve">The Paymaster gas subsidy for ERC-4337 users is listed as a "financial-inclusion subsidy line" funded by the World Bank Reserve. At scale this is a significant cost: 68,800 users × multiple bootstrapped transactions = tens of thousands of dollars in pre-KYC subsidies, not modeled.</w:t>
      </w:r>
    </w:p>
    <w:p>
      <w:pPr>
        <w:spacing w:after="60" w:before="60"/>
      </w:pPr>
      <w:r>
        <w:t xml:space="preserve"/>
      </w:r>
    </w:p>
    <w:p>
      <w:r>
        <w:br w:type="page"/>
      </w:r>
    </w:p>
    <w:p>
      <w:pPr>
        <w:pStyle w:val="Heading1"/>
        <w:spacing w:after="120" w:before="360"/>
      </w:pPr>
      <w:r>
        <w:rPr>
          <w:b/>
          <w:bCs/>
          <w:color w:val="1A237E"/>
          <w:sz w:val="32"/>
          <w:szCs w:val="32"/>
        </w:rPr>
        <w:t xml:space="preserve">2. TECHNICAL FEASIBILITY — HIGH-RISK AREAS</w:t>
      </w:r>
    </w:p>
    <w:p>
      <w:pPr>
        <w:pStyle w:val="Heading2"/>
        <w:spacing w:after="100" w:before="280"/>
      </w:pPr>
      <w:r>
        <w:rPr>
          <w:b/>
          <w:bCs/>
          <w:color w:val="2E4057"/>
          <w:sz w:val="26"/>
          <w:szCs w:val="26"/>
        </w:rPr>
        <w:t xml:space="preserve">2.1 Sprint Plan: 15 Contracts in Two 2-3 Week Sprints</w:t>
      </w:r>
    </w:p>
    <w:p>
      <w:pPr>
        <w:spacing w:after="120" w:before="80"/>
      </w:pPr>
      <w:r>
        <w:rPr>
          <w:sz w:val="22"/>
          <w:szCs w:val="22"/>
        </w:rPr>
        <w:t xml:space="preserve">This is perhaps the single most credibility-damaging aspect of the entire thesis. The thesis proposes to implement 12 additional smart contracts (beyond the 3 currently built) across Sprint 2 and Sprint 3, each lasting 2-3 weeks. The 12 planned contracts include: SavingsVault, FixedDeposit, GroupLendingPool, FXModule, InsuranceFund, CurrentAccount, InterBankLendingPool (×2 tiers), UpwardDepositFacility, SyndicatedLoan, TranchedPool, TreasurySwap, and NettingEngine.</w:t>
      </w:r>
    </w:p>
    <w:p>
      <w:pPr>
        <w:pBdr>
          <w:left w:val="single" w:color="C62828" w:sz="12" w:space="6"/>
        </w:pBdr>
        <w:spacing w:after="120" w:before="120"/>
        <w:ind w:left="360"/>
      </w:pPr>
      <w:r>
        <w:rPr>
          <w:b/>
          <w:bCs/>
          <w:color w:val="C62828"/>
          <w:sz w:val="22"/>
          <w:szCs w:val="22"/>
        </w:rPr>
        <w:t xml:space="preserve">Industry Benchmark: </w:t>
      </w:r>
      <w:r>
        <w:rPr>
          <w:i/>
          <w:iCs/>
          <w:sz w:val="22"/>
          <w:szCs w:val="22"/>
        </w:rPr>
        <w:t xml:space="preserve">Aave v3 required approximately 18 months and a team of 10+ Solidity engineers to implement and audit 9 core contracts. Maple Finance's first version took 14 months. A two-person student team implementing 12 complex financial contracts in 4-6 weeks is not feasible.</w:t>
      </w:r>
    </w:p>
    <w:p>
      <w:pPr>
        <w:pStyle w:val="ListParagraph"/>
        <w:numPr>
          <w:ilvl w:val="0"/>
          <w:numId w:val="2"/>
        </w:numPr>
        <w:spacing w:after="40" w:before="40"/>
      </w:pPr>
      <w:r>
        <w:rPr>
          <w:sz w:val="22"/>
          <w:szCs w:val="22"/>
        </w:rPr>
        <w:t xml:space="preserve">The SyndicatedLoan contract alone (multi-party consent vote, subscription window, supermajority confirmation, pro-rata distribution, default cascade) is equivalent to a complete DeFi protocol in complexity.</w:t>
      </w:r>
    </w:p>
    <w:p>
      <w:pPr>
        <w:pStyle w:val="ListParagraph"/>
        <w:numPr>
          <w:ilvl w:val="0"/>
          <w:numId w:val="2"/>
        </w:numPr>
        <w:spacing w:after="40" w:before="40"/>
      </w:pPr>
      <w:r>
        <w:rPr>
          <w:sz w:val="22"/>
          <w:szCs w:val="22"/>
        </w:rPr>
        <w:t xml:space="preserve">The NettingEngine with off-chain Settlement Coordinator, Merkle proofs, partial settlement fallback, and challenge window is a novel financial system requiring months of design and testing.</w:t>
      </w:r>
    </w:p>
    <w:p>
      <w:pPr>
        <w:pStyle w:val="ListParagraph"/>
        <w:numPr>
          <w:ilvl w:val="0"/>
          <w:numId w:val="2"/>
        </w:numPr>
        <w:spacing w:after="40" w:before="40"/>
      </w:pPr>
      <w:r>
        <w:rPr>
          <w:sz w:val="22"/>
          <w:szCs w:val="22"/>
        </w:rPr>
        <w:t xml:space="preserve">The thesis's Certora formal verification target (two invariants) for a 15-contract system is unrealistic in the final sprint timeline. Certora verification of even simple invariants requires weeks of CVL specification work by experts.</w:t>
      </w:r>
    </w:p>
    <w:p>
      <w:pPr>
        <w:pStyle w:val="ListParagraph"/>
        <w:numPr>
          <w:ilvl w:val="0"/>
          <w:numId w:val="2"/>
        </w:numPr>
        <w:spacing w:after="40" w:before="40"/>
      </w:pPr>
      <w:r>
        <w:rPr>
          <w:sz w:val="22"/>
          <w:szCs w:val="22"/>
        </w:rPr>
        <w:t xml:space="preserve">The sprint plan should honestly scope to 5-6 contracts (the core lending lifecycle) and defer the multi-entity operations (IBLP, NettingEngine, SyndicatedLoan) to a separate research phase.</w:t>
      </w:r>
    </w:p>
    <w:p>
      <w:pPr>
        <w:spacing w:after="60" w:before="60"/>
      </w:pPr>
      <w:r>
        <w:t xml:space="preserve"/>
      </w:r>
    </w:p>
    <w:p>
      <w:pPr>
        <w:pStyle w:val="Heading2"/>
        <w:spacing w:after="100" w:before="280"/>
      </w:pPr>
      <w:r>
        <w:rPr>
          <w:b/>
          <w:bCs/>
          <w:color w:val="2E4057"/>
          <w:sz w:val="26"/>
          <w:szCs w:val="26"/>
        </w:rPr>
        <w:t xml:space="preserve">2.2 Polygon PoS: Undisclosed Infrastructure Risks</w:t>
      </w:r>
    </w:p>
    <w:p>
      <w:pPr>
        <w:spacing w:after="120" w:before="80"/>
      </w:pPr>
      <w:r>
        <w:rPr>
          <w:sz w:val="22"/>
          <w:szCs w:val="22"/>
        </w:rPr>
        <w:t xml:space="preserve">The thesis presents Polygon PoS as a reliable, decentralized infrastructure with ~100 active validators and 2-second block finality. Independent research reveals several material risks that are insufficiently disclosed.</w:t>
      </w:r>
    </w:p>
    <w:tbl>
      <w:tblPr>
        <w:tblW w:type="dxa" w:w="82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760"/>
      </w:tblGrid>
      <w:tr>
        <w:trPr>
          <w:tblHeader/>
        </w:trPr>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Issue</w:t>
            </w:r>
          </w:p>
        </w:tc>
        <w:tc>
          <w:tcPr>
            <w:tcW w:type="dxa" w:w="3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Evidence</w:t>
            </w:r>
          </w:p>
        </w:tc>
        <w:tc>
          <w:tcPr>
            <w:tcW w:type="dxa" w:w="27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Thesis Treatment</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Validator centralization</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Top 5 validators control 47% of staked MATIC; Binance alone holds 13.7%</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Claims '~100 validators'; no concentration risk discussion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Network outages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March 2024: 11-hour outage; July 2025: 50-minute halt; Sept 2025: 10-15 min finality incident</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99.5% SLA claimed for API layer but chain liveness called 'not under team's control'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Architecture transition risk</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MATIC→POL migration ongoing; Heimdall v1 deprecated; Rio upgrade redesigns validator set</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No mention of migration risk during implementation phase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Cartelization risk</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Validator auction mechanism postponed due to cartelization concerns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Validator incentive structure not analyzed</w:t>
            </w:r>
          </w:p>
        </w:tc>
      </w:tr>
    </w:tbl>
    <w:p>
      <w:pPr>
        <w:spacing w:after="60" w:before="60"/>
      </w:pPr>
      <w:r>
        <w:t xml:space="preserve"/>
      </w:r>
    </w:p>
    <w:p>
      <w:pPr>
        <w:pBdr>
          <w:left w:val="single" w:color="C62828" w:sz="12" w:space="6"/>
        </w:pBdr>
        <w:spacing w:after="120" w:before="120"/>
        <w:ind w:left="360"/>
      </w:pPr>
      <w:r>
        <w:rPr>
          <w:b/>
          <w:bCs/>
          <w:color w:val="C62828"/>
          <w:sz w:val="22"/>
          <w:szCs w:val="22"/>
        </w:rPr>
        <w:t xml:space="preserve">Key Weakness: </w:t>
      </w:r>
      <w:r>
        <w:rPr>
          <w:i/>
          <w:iCs/>
          <w:sz w:val="22"/>
          <w:szCs w:val="22"/>
        </w:rPr>
        <w:t xml:space="preserve">The 99.5% SLA claim is presented as a goal but then immediately qualified as only covering the API layer. The blockchain layer — the trust-critical component of the entire platform — is explicitly excluded from the SLA. This undercuts a central claim of the platform's reliability advantage over traditional banking.</w:t>
      </w:r>
    </w:p>
    <w:p>
      <w:pPr>
        <w:spacing w:after="60" w:before="60"/>
      </w:pPr>
      <w:r>
        <w:t xml:space="preserve"/>
      </w:r>
    </w:p>
    <w:p>
      <w:pPr>
        <w:pStyle w:val="Heading2"/>
        <w:spacing w:after="100" w:before="280"/>
      </w:pPr>
      <w:r>
        <w:rPr>
          <w:b/>
          <w:bCs/>
          <w:color w:val="2E4057"/>
          <w:sz w:val="26"/>
          <w:szCs w:val="26"/>
        </w:rPr>
        <w:t xml:space="preserve">2.3 Oracle Architecture: Residual Trust Assumption</w:t>
      </w:r>
    </w:p>
    <w:p>
      <w:pPr>
        <w:spacing w:after="120" w:before="80"/>
      </w:pPr>
      <w:r>
        <w:rPr>
          <w:sz w:val="22"/>
          <w:szCs w:val="22"/>
        </w:rPr>
        <w:t xml:space="preserve">The commit-reveal oracle with 2-of-3 multi-signer attestation is a thoughtful improvement over a simple centralized relay. However, the attestation design has a structural flaw that could be exploited.</w:t>
      </w:r>
    </w:p>
    <w:p>
      <w:pPr>
        <w:pStyle w:val="ListParagraph"/>
        <w:numPr>
          <w:ilvl w:val="0"/>
          <w:numId w:val="2"/>
        </w:numPr>
        <w:spacing w:after="40" w:before="40"/>
      </w:pPr>
      <w:r>
        <w:rPr>
          <w:sz w:val="22"/>
          <w:szCs w:val="22"/>
        </w:rPr>
        <w:t xml:space="preserve">The three designated signers are: (1) FastAPI ML service key, (2) originating Local Bank operator key, (3) World Bank governance key. The Local Bank operator is both the loan approver AND one of the signers for the risk score commitment. This creates a collusion vector: a corrupt Local Bank operator can co-sign a favorable risk score and then approve the resulting loan.</w:t>
      </w:r>
    </w:p>
    <w:p>
      <w:pPr>
        <w:pStyle w:val="ListParagraph"/>
        <w:numPr>
          <w:ilvl w:val="0"/>
          <w:numId w:val="2"/>
        </w:numPr>
        <w:spacing w:after="40" w:before="40"/>
      </w:pPr>
      <w:r>
        <w:rPr>
          <w:sz w:val="22"/>
          <w:szCs w:val="22"/>
        </w:rPr>
        <w:t xml:space="preserve">The commit-reveal pattern proves the score wasn't changed after commitment. It does not prove the score was computed correctly from the actual borrower features. A compromised FastAPI service can submit any score it chooses.</w:t>
      </w:r>
    </w:p>
    <w:p>
      <w:pPr>
        <w:pStyle w:val="ListParagraph"/>
        <w:numPr>
          <w:ilvl w:val="0"/>
          <w:numId w:val="2"/>
        </w:numPr>
        <w:spacing w:after="40" w:before="40"/>
      </w:pPr>
      <w:r>
        <w:rPr>
          <w:sz w:val="22"/>
          <w:szCs w:val="22"/>
        </w:rPr>
        <w:t xml:space="preserve">Chainlink Functions latency (30-60 seconds per call) combined with the 200ms timeout for live on-chain context injection in the LLM assistant will frequently fall back to static context — acknowledged in a footnote but not treated as a UX degradation risk.</w:t>
      </w:r>
    </w:p>
    <w:p>
      <w:pPr>
        <w:spacing w:after="60" w:before="60"/>
      </w:pPr>
      <w:r>
        <w:t xml:space="preserve"/>
      </w:r>
    </w:p>
    <w:p>
      <w:pPr>
        <w:pStyle w:val="Heading2"/>
        <w:spacing w:after="100" w:before="280"/>
      </w:pPr>
      <w:r>
        <w:rPr>
          <w:b/>
          <w:bCs/>
          <w:color w:val="2E4057"/>
          <w:sz w:val="26"/>
          <w:szCs w:val="26"/>
        </w:rPr>
        <w:t xml:space="preserve">2.4 AI/ML Layer: Demonstrated vs. Claimed Performance</w:t>
      </w:r>
    </w:p>
    <w:p>
      <w:pPr>
        <w:spacing w:after="120" w:before="80"/>
      </w:pPr>
      <w:r>
        <w:rPr>
          <w:sz w:val="22"/>
          <w:szCs w:val="22"/>
        </w:rPr>
        <w:t xml:space="preserve">The thesis is careful to avoid claiming specific F1 scores for its own models, instead citing Palaiokrassas et al.'s 0.76-0.85 F1 on DeFi fraud detection. However, several ML design decisions require stronger defense.</w:t>
      </w:r>
    </w:p>
    <w:p>
      <w:pPr>
        <w:pStyle w:val="ListParagraph"/>
        <w:numPr>
          <w:ilvl w:val="0"/>
          <w:numId w:val="2"/>
        </w:numPr>
        <w:spacing w:after="40" w:before="40"/>
      </w:pPr>
      <w:r>
        <w:rPr>
          <w:sz w:val="22"/>
          <w:szCs w:val="22"/>
        </w:rPr>
        <w:t xml:space="preserve">The stacking meta-learner combining Random Forest fraud probability and Isolation Forest anomaly score uses placeholder weights (0.7/0.3). Without a validation dataset, these weights cannot be calibrated — the composite score s is statistically uninterpretable until the model is trained on real data.</w:t>
      </w:r>
    </w:p>
    <w:p>
      <w:pPr>
        <w:pStyle w:val="ListParagraph"/>
        <w:numPr>
          <w:ilvl w:val="0"/>
          <w:numId w:val="2"/>
        </w:numPr>
        <w:spacing w:after="40" w:before="40"/>
      </w:pPr>
      <w:r>
        <w:rPr>
          <w:sz w:val="22"/>
          <w:szCs w:val="22"/>
        </w:rPr>
        <w:t xml:space="preserve">"18 behavioral features" for the Random Forest are listed but their predictive value on DeFi lending fraud (not DeFi trading fraud, which is what Palaiokrassas et al. studied) is unproven. Lending fraud patterns (identity fraud, false income, coordinated defaults) differ fundamentally from trading manipulation patterns.</w:t>
      </w:r>
    </w:p>
    <w:p>
      <w:pPr>
        <w:pStyle w:val="ListParagraph"/>
        <w:numPr>
          <w:ilvl w:val="0"/>
          <w:numId w:val="2"/>
        </w:numPr>
        <w:spacing w:after="40" w:before="40"/>
      </w:pPr>
      <w:r>
        <w:rPr>
          <w:sz w:val="22"/>
          <w:szCs w:val="22"/>
        </w:rPr>
        <w:t xml:space="preserve">The federated learning cold-start threshold of 500 transactions per bank means the platform operates with NO fraud detection protection during its most vulnerable early-growth phase.</w:t>
      </w:r>
    </w:p>
    <w:p>
      <w:pPr>
        <w:pStyle w:val="ListParagraph"/>
        <w:numPr>
          <w:ilvl w:val="0"/>
          <w:numId w:val="2"/>
        </w:numPr>
        <w:spacing w:after="40" w:before="40"/>
      </w:pPr>
      <w:r>
        <w:rPr>
          <w:sz w:val="22"/>
          <w:szCs w:val="22"/>
        </w:rPr>
        <w:t xml:space="preserve">SHAP explainability is built but not integrated into the on-chain approval workflow in the prototype. The EU AI Act Article 86 compliance claim depends on this integration being complete — it is not.</w:t>
      </w:r>
    </w:p>
    <w:p>
      <w:pPr>
        <w:spacing w:after="60" w:before="60"/>
      </w:pPr>
      <w:r>
        <w:t xml:space="preserve"/>
      </w:r>
    </w:p>
    <w:p>
      <w:pPr>
        <w:pStyle w:val="Heading2"/>
        <w:spacing w:after="100" w:before="280"/>
      </w:pPr>
      <w:r>
        <w:rPr>
          <w:b/>
          <w:bCs/>
          <w:color w:val="2E4057"/>
          <w:sz w:val="26"/>
          <w:szCs w:val="26"/>
        </w:rPr>
        <w:t xml:space="preserve">2.5 LLM Integration: Production Architecture Problem</w:t>
      </w:r>
    </w:p>
    <w:p>
      <w:pPr>
        <w:spacing w:after="120" w:before="80"/>
      </w:pPr>
      <w:r>
        <w:rPr>
          <w:sz w:val="22"/>
          <w:szCs w:val="22"/>
        </w:rPr>
        <w:t xml:space="preserve">The in-product LLM assistant runs on a local gaming PC (AMD Radeon RX 9060 XT) using llama.cpp with ROCm — with an acknowledged bug workaround in a footnote. This is a prototype convenience but is presented as an architectural component in a banking system.</w:t>
      </w:r>
    </w:p>
    <w:p>
      <w:pPr>
        <w:pStyle w:val="ListParagraph"/>
        <w:numPr>
          <w:ilvl w:val="0"/>
          <w:numId w:val="2"/>
        </w:numPr>
        <w:spacing w:after="40" w:before="40"/>
      </w:pPr>
      <w:r>
        <w:rPr>
          <w:sz w:val="22"/>
          <w:szCs w:val="22"/>
        </w:rPr>
        <w:t xml:space="preserve">A banking platform AI assistant for retail clients in Bangladesh cannot rely on a gaming GPU on a developer's desk. The production deployment path (Anthropic API, Azure OpenAI, self-hosted inference cluster) is never specified.</w:t>
      </w:r>
    </w:p>
    <w:p>
      <w:pPr>
        <w:pStyle w:val="ListParagraph"/>
        <w:numPr>
          <w:ilvl w:val="0"/>
          <w:numId w:val="2"/>
        </w:numPr>
        <w:spacing w:after="40" w:before="40"/>
      </w:pPr>
      <w:r>
        <w:rPr>
          <w:sz w:val="22"/>
          <w:szCs w:val="22"/>
        </w:rPr>
        <w:t xml:space="preserve">The ROCm 6.4 / RDNA4 compatibility issue (requiring environment variable workarounds) signals that this configuration is not stable production infrastructure.</w:t>
      </w:r>
    </w:p>
    <w:p>
      <w:pPr>
        <w:pStyle w:val="ListParagraph"/>
        <w:numPr>
          <w:ilvl w:val="0"/>
          <w:numId w:val="2"/>
        </w:numPr>
        <w:spacing w:after="40" w:before="40"/>
      </w:pPr>
      <w:r>
        <w:rPr>
          <w:sz w:val="22"/>
          <w:szCs w:val="22"/>
        </w:rPr>
        <w:t xml:space="preserve">The refusal layer for regulated questions targets 100% refusal rate — but the red-teaming protocol uses only 50 borderline prompts. 50 prompts is insufficient to characterize a model's behavior across the full distribution of adversarial financial queries.</w:t>
      </w:r>
    </w:p>
    <w:p>
      <w:pPr>
        <w:spacing w:after="60" w:before="60"/>
      </w:pPr>
      <w:r>
        <w:t xml:space="preserve"/>
      </w:r>
    </w:p>
    <w:p>
      <w:r>
        <w:br w:type="page"/>
      </w:r>
    </w:p>
    <w:p>
      <w:pPr>
        <w:pStyle w:val="Heading1"/>
        <w:spacing w:after="120" w:before="360"/>
      </w:pPr>
      <w:r>
        <w:rPr>
          <w:b/>
          <w:bCs/>
          <w:color w:val="1A237E"/>
          <w:sz w:val="32"/>
          <w:szCs w:val="32"/>
        </w:rPr>
        <w:t xml:space="preserve">3. REGULATORY FEASIBILITY — CRITICAL RISKS</w:t>
      </w:r>
    </w:p>
    <w:p>
      <w:pPr>
        <w:pStyle w:val="Heading2"/>
        <w:spacing w:after="100" w:before="280"/>
      </w:pPr>
      <w:r>
        <w:rPr>
          <w:b/>
          <w:bCs/>
          <w:color w:val="2E4057"/>
          <w:sz w:val="26"/>
          <w:szCs w:val="26"/>
        </w:rPr>
        <w:t xml:space="preserve">3.1 Bangladesh: The Primary Market Is Legally Non-Operational</w:t>
      </w:r>
    </w:p>
    <w:p>
      <w:pPr>
        <w:spacing w:after="120" w:before="80"/>
      </w:pPr>
      <w:r>
        <w:rPr>
          <w:sz w:val="22"/>
          <w:szCs w:val="22"/>
        </w:rPr>
        <w:t xml:space="preserve">The thesis's primary target market is Bangladesh, which is given substantial focus in Sections 5.8 (Accessibility Assessment) and the Bangladesh regulatory section. However, the regulatory reality is significantly more restrictive than the thesis represents.</w:t>
      </w:r>
    </w:p>
    <w:p>
      <w:pPr>
        <w:pBdr>
          <w:left w:val="single" w:color="C62828" w:sz="12" w:space="6"/>
        </w:pBdr>
        <w:spacing w:after="120" w:before="120"/>
        <w:ind w:left="360"/>
      </w:pPr>
      <w:r>
        <w:rPr>
          <w:b/>
          <w:bCs/>
          <w:color w:val="C62828"/>
          <w:sz w:val="22"/>
          <w:szCs w:val="22"/>
        </w:rPr>
        <w:t xml:space="preserve">Confirmed by Independent Research: </w:t>
      </w:r>
      <w:r>
        <w:rPr>
          <w:i/>
          <w:iCs/>
          <w:sz w:val="22"/>
          <w:szCs w:val="22"/>
        </w:rPr>
        <w:t xml:space="preserve">As of May 2026, Bangladesh Bank maintains its position that crypto transactions violate the Foreign Exchange Regulation Act (1947) and Anti-Money Laundering Act (2012). No crypto businesses are officially licensed. The Regulatory FinTech Facilitation Office (RFFO) sandbox is in 'early beta' with zero licensed crypto-lending projects. The CBDC pilot launched in 2024 has reported no further developments as of 2025.</w:t>
      </w:r>
    </w:p>
    <w:p>
      <w:pPr>
        <w:pStyle w:val="ListParagraph"/>
        <w:numPr>
          <w:ilvl w:val="0"/>
          <w:numId w:val="2"/>
        </w:numPr>
        <w:spacing w:after="40" w:before="40"/>
      </w:pPr>
      <w:r>
        <w:rPr>
          <w:sz w:val="22"/>
          <w:szCs w:val="22"/>
        </w:rPr>
        <w:t xml:space="preserve">USDC and USDT stablecoin transactions by Bangladeshi retail clients would constitute unauthorized foreign exchange transactions under existing law — even for pilot deployments.</w:t>
      </w:r>
    </w:p>
    <w:p>
      <w:pPr>
        <w:pStyle w:val="ListParagraph"/>
        <w:numPr>
          <w:ilvl w:val="0"/>
          <w:numId w:val="2"/>
        </w:numPr>
        <w:spacing w:after="40" w:before="40"/>
      </w:pPr>
      <w:r>
        <w:rPr>
          <w:sz w:val="22"/>
          <w:szCs w:val="22"/>
        </w:rPr>
        <w:t xml:space="preserve">The thesis's RFFO sandbox pathway (engage RFFO → pilot with MFI partner → CBDC integration) has no demonstrated timeline and depends on regulatory developments outside the team's control.</w:t>
      </w:r>
    </w:p>
    <w:p>
      <w:pPr>
        <w:pStyle w:val="ListParagraph"/>
        <w:numPr>
          <w:ilvl w:val="0"/>
          <w:numId w:val="2"/>
        </w:numPr>
        <w:spacing w:after="40" w:before="40"/>
      </w:pPr>
      <w:r>
        <w:rPr>
          <w:sz w:val="22"/>
          <w:szCs w:val="22"/>
        </w:rPr>
        <w:t xml:space="preserve">The claim that the platform "does not process KYC/AML data in its current scope" is fine for testnet, but any progression toward pilot deployment in Bangladesh requires full AML/CFT compliance with Bangladesh Financial Intelligence Unit — a regulatory process that takes 12-24+ months.</w:t>
      </w:r>
    </w:p>
    <w:p>
      <w:pPr>
        <w:pStyle w:val="ListParagraph"/>
        <w:numPr>
          <w:ilvl w:val="0"/>
          <w:numId w:val="2"/>
        </w:numPr>
        <w:spacing w:after="40" w:before="40"/>
      </w:pPr>
      <w:r>
        <w:rPr>
          <w:sz w:val="22"/>
          <w:szCs w:val="22"/>
        </w:rPr>
        <w:t xml:space="preserve">The Bangladesh CBDC trajectory (described as the 'credible legal path') assumes the CBDC will (a) be issued, (b) use a hierarchical distribution model matching CWB's architecture, and (c) be compatible with private platforms — three assumptions with no evidential support.</w:t>
      </w:r>
    </w:p>
    <w:p>
      <w:pPr>
        <w:spacing w:after="60" w:before="60"/>
      </w:pPr>
      <w:r>
        <w:t xml:space="preserve"/>
      </w:r>
    </w:p>
    <w:p>
      <w:pPr>
        <w:pStyle w:val="Heading2"/>
        <w:spacing w:after="100" w:before="280"/>
      </w:pPr>
      <w:r>
        <w:rPr>
          <w:b/>
          <w:bCs/>
          <w:color w:val="2E4057"/>
          <w:sz w:val="26"/>
          <w:szCs w:val="26"/>
        </w:rPr>
        <w:t xml:space="preserve">3.2 MiCA and GENIUS Act: Compliance Gaps</w:t>
      </w:r>
    </w:p>
    <w:p>
      <w:pPr>
        <w:spacing w:after="120" w:before="80"/>
      </w:pPr>
      <w:r>
        <w:rPr>
          <w:sz w:val="22"/>
          <w:szCs w:val="22"/>
        </w:rPr>
        <w:t xml:space="preserve">The MiCA/GENIUS Act compliance mapping (Table in Section 5.6) is a useful addition but contains several gaps that undermine the compliance claim.</w:t>
      </w:r>
    </w:p>
    <w:p>
      <w:pPr>
        <w:pStyle w:val="ListParagraph"/>
        <w:numPr>
          <w:ilvl w:val="0"/>
          <w:numId w:val="2"/>
        </w:numPr>
        <w:spacing w:after="40" w:before="40"/>
      </w:pPr>
      <w:r>
        <w:rPr>
          <w:sz w:val="22"/>
          <w:szCs w:val="22"/>
        </w:rPr>
        <w:t xml:space="preserve">MiCA Art. 16 requires authorized issuers. The thesis notes 'CWB uses but does not issue EMTs.' However, if CWB creates svUSDC share tokens (the ERC-4626 SavingsVault shares), those share tokens may themselves constitute e-money tokens under MiCA — requiring authorization. This is not analyzed.</w:t>
      </w:r>
    </w:p>
    <w:p>
      <w:pPr>
        <w:pStyle w:val="ListParagraph"/>
        <w:numPr>
          <w:ilvl w:val="0"/>
          <w:numId w:val="2"/>
        </w:numPr>
        <w:spacing w:after="40" w:before="40"/>
      </w:pPr>
      <w:r>
        <w:rPr>
          <w:sz w:val="22"/>
          <w:szCs w:val="22"/>
        </w:rPr>
        <w:t xml:space="preserve">GDPR Article 17 (right to erasure) is noted as handled by deleting off-chain data. However, the SHA-256 document hash stored on-chain is a permanent reference to a personal document. If the off-chain document is deleted, the on-chain hash references a deleted personal data item — which may constitute a data trail that GDPR prohibits. This tension is not resolved.</w:t>
      </w:r>
    </w:p>
    <w:p>
      <w:pPr>
        <w:pStyle w:val="ListParagraph"/>
        <w:numPr>
          <w:ilvl w:val="0"/>
          <w:numId w:val="2"/>
        </w:numPr>
        <w:spacing w:after="40" w:before="40"/>
      </w:pPr>
      <w:r>
        <w:rPr>
          <w:sz w:val="22"/>
          <w:szCs w:val="22"/>
        </w:rPr>
        <w:t xml:space="preserve">The thesis claims 'GDPR data-minimization principles and Bangladesh's Personal Data Protection regime' — but Bangladesh's Personal Data Protection Act was still in draft as of 2025, not enacted law.</w:t>
      </w:r>
    </w:p>
    <w:p>
      <w:pPr>
        <w:spacing w:after="60" w:before="60"/>
      </w:pPr>
      <w:r>
        <w:t xml:space="preserve"/>
      </w:r>
    </w:p>
    <w:p>
      <w:pPr>
        <w:pStyle w:val="Heading2"/>
        <w:spacing w:after="100" w:before="280"/>
      </w:pPr>
      <w:r>
        <w:rPr>
          <w:b/>
          <w:bCs/>
          <w:color w:val="2E4057"/>
          <w:sz w:val="26"/>
          <w:szCs w:val="26"/>
        </w:rPr>
        <w:t xml:space="preserve">3.3 USDC/USDT: Issuer Risk Understated</w:t>
      </w:r>
    </w:p>
    <w:p>
      <w:pPr>
        <w:spacing w:after="120" w:before="80"/>
      </w:pPr>
      <w:r>
        <w:rPr>
          <w:sz w:val="22"/>
          <w:szCs w:val="22"/>
        </w:rPr>
        <w:t xml:space="preserve">The stablecoin-first design relies on USDC as the primary retail denomination. The thesis treats USDC as a stable, compliance-ready substrate without adequately analyzing issuer risk.</w:t>
      </w:r>
    </w:p>
    <w:p>
      <w:pPr>
        <w:pStyle w:val="ListParagraph"/>
        <w:numPr>
          <w:ilvl w:val="0"/>
          <w:numId w:val="2"/>
        </w:numPr>
        <w:spacing w:after="40" w:before="40"/>
      </w:pPr>
      <w:r>
        <w:rPr>
          <w:sz w:val="22"/>
          <w:szCs w:val="22"/>
        </w:rPr>
        <w:t xml:space="preserve">Circle's USDC maintained a $3.3B depeg during the Silicon Valley Bank collapse in March 2023 — a 9.7% deviation from peg. This is a precedent for the 'stable' denomination used for retail loans in developing economies.</w:t>
      </w:r>
    </w:p>
    <w:p>
      <w:pPr>
        <w:pStyle w:val="ListParagraph"/>
        <w:numPr>
          <w:ilvl w:val="0"/>
          <w:numId w:val="2"/>
        </w:numPr>
        <w:spacing w:after="40" w:before="40"/>
      </w:pPr>
      <w:r>
        <w:rPr>
          <w:sz w:val="22"/>
          <w:szCs w:val="22"/>
        </w:rPr>
        <w:t xml:space="preserve">The thesis states 'USDC reserves verified via on-chain attestations from Circle before being accepted by SavingsVault.' Circle publishes monthly, not real-time, reserve attestations. The on-chain verification mechanism described is not currently buildable from public Circle APIs.</w:t>
      </w:r>
    </w:p>
    <w:p>
      <w:pPr>
        <w:spacing w:after="60" w:before="60"/>
      </w:pPr>
      <w:r>
        <w:t xml:space="preserve"/>
      </w:r>
    </w:p>
    <w:p>
      <w:r>
        <w:br w:type="page"/>
      </w:r>
    </w:p>
    <w:p>
      <w:pPr>
        <w:pStyle w:val="Heading1"/>
        <w:spacing w:after="120" w:before="360"/>
      </w:pPr>
      <w:r>
        <w:rPr>
          <w:b/>
          <w:bCs/>
          <w:color w:val="1A237E"/>
          <w:sz w:val="32"/>
          <w:szCs w:val="32"/>
        </w:rPr>
        <w:t xml:space="preserve">4. SYSTEM ARCHITECTURE — WEAKNESSES REQUIRING DEFENSE</w:t>
      </w:r>
    </w:p>
    <w:p>
      <w:pPr>
        <w:pStyle w:val="Heading2"/>
        <w:spacing w:after="100" w:before="280"/>
      </w:pPr>
      <w:r>
        <w:rPr>
          <w:b/>
          <w:bCs/>
          <w:color w:val="2E4057"/>
          <w:sz w:val="26"/>
          <w:szCs w:val="26"/>
        </w:rPr>
        <w:t xml:space="preserve">4.1 Security Surface: Exponential Growth with Contract Count</w:t>
      </w:r>
    </w:p>
    <w:p>
      <w:pPr>
        <w:spacing w:after="120" w:before="80"/>
      </w:pPr>
      <w:r>
        <w:rPr>
          <w:sz w:val="22"/>
          <w:szCs w:val="22"/>
        </w:rPr>
        <w:t xml:space="preserve">The thesis's security analysis is thorough for the 3 implemented contracts. However, the security claims do not scale linearly with the planned architecture.</w:t>
      </w:r>
    </w:p>
    <w:p>
      <w:pPr>
        <w:pBdr>
          <w:left w:val="single" w:color="C62828" w:sz="12" w:space="6"/>
        </w:pBdr>
        <w:spacing w:after="120" w:before="120"/>
        <w:ind w:left="360"/>
      </w:pPr>
      <w:r>
        <w:rPr>
          <w:b/>
          <w:bCs/>
          <w:color w:val="C62828"/>
          <w:sz w:val="22"/>
          <w:szCs w:val="22"/>
        </w:rPr>
        <w:t xml:space="preserve">Critical Observation: </w:t>
      </w:r>
      <w:r>
        <w:rPr>
          <w:i/>
          <w:iCs/>
          <w:sz w:val="22"/>
          <w:szCs w:val="22"/>
        </w:rPr>
        <w:t xml:space="preserve">A 15-contract system with cross-contract calls has an attack surface that grows exponentially, not linearly. Each new external call relationship between contracts creates a new reentrancy surface, a new access control boundary, and a new economic attack vector. The Curve Finance exploit (2023, $70M loss) occurred via a reentrancy bug in a Vyper compiler version — not in the Solidity code the team audited. The thesis cannot claim security for 12 unbuilt contracts.</w:t>
      </w:r>
    </w:p>
    <w:p>
      <w:pPr>
        <w:pStyle w:val="ListParagraph"/>
        <w:numPr>
          <w:ilvl w:val="0"/>
          <w:numId w:val="2"/>
        </w:numPr>
        <w:spacing w:after="40" w:before="40"/>
      </w:pPr>
      <w:r>
        <w:rPr>
          <w:sz w:val="22"/>
          <w:szCs w:val="22"/>
        </w:rPr>
        <w:t xml:space="preserve">The threat model in Table (Section 3.8) is written for the 3-contract prototype but applied to claims about the 15-contract system. This creates a credibility gap.</w:t>
      </w:r>
    </w:p>
    <w:p>
      <w:pPr>
        <w:pStyle w:val="ListParagraph"/>
        <w:numPr>
          <w:ilvl w:val="0"/>
          <w:numId w:val="2"/>
        </w:numPr>
        <w:spacing w:after="40" w:before="40"/>
      </w:pPr>
      <w:r>
        <w:rPr>
          <w:sz w:val="22"/>
          <w:szCs w:val="22"/>
        </w:rPr>
        <w:t xml:space="preserve">Cross-contract reentrancy between SavingsVault, GroupLendingPool, and InsuranceFund involves three different contracts calling each other during default resolution — a complex state machine that needs dedicated reentrancy analysis.</w:t>
      </w:r>
    </w:p>
    <w:p>
      <w:pPr>
        <w:pStyle w:val="ListParagraph"/>
        <w:numPr>
          <w:ilvl w:val="0"/>
          <w:numId w:val="2"/>
        </w:numPr>
        <w:spacing w:after="40" w:before="40"/>
      </w:pPr>
      <w:r>
        <w:rPr>
          <w:sz w:val="22"/>
          <w:szCs w:val="22"/>
        </w:rPr>
        <w:t xml:space="preserve">The NettingEngine's 'public challenge window for dispute resolution' is an unspecified economic incentive structure. What prevents a malicious participant from filing spurious disputes to delay settlement?</w:t>
      </w:r>
    </w:p>
    <w:p>
      <w:pPr>
        <w:spacing w:after="60" w:before="60"/>
      </w:pPr>
      <w:r>
        <w:t xml:space="preserve"/>
      </w:r>
    </w:p>
    <w:p>
      <w:pPr>
        <w:pStyle w:val="Heading2"/>
        <w:spacing w:after="100" w:before="280"/>
      </w:pPr>
      <w:r>
        <w:rPr>
          <w:b/>
          <w:bCs/>
          <w:color w:val="2E4057"/>
          <w:sz w:val="26"/>
          <w:szCs w:val="26"/>
        </w:rPr>
        <w:t xml:space="preserve">4.2 Data Consistency: The On-Chain/Off-Chain Synchronization Problem</w:t>
      </w:r>
    </w:p>
    <w:p>
      <w:pPr>
        <w:spacing w:after="120" w:before="80"/>
      </w:pPr>
      <w:r>
        <w:rPr>
          <w:sz w:val="22"/>
          <w:szCs w:val="22"/>
        </w:rPr>
        <w:t xml:space="preserve">The thesis acknowledges that 'a two-phase commit between PostgreSQL and the blockchain is impossible.' The proposed solution — PostgreSQL as 'read replica for dashboard display only' with on-chain enforcement as authoritative — is architecturally sound in theory but creates practical problems.</w:t>
      </w:r>
    </w:p>
    <w:p>
      <w:pPr>
        <w:pStyle w:val="ListParagraph"/>
        <w:numPr>
          <w:ilvl w:val="0"/>
          <w:numId w:val="2"/>
        </w:numPr>
        <w:spacing w:after="40" w:before="40"/>
      </w:pPr>
      <w:r>
        <w:rPr>
          <w:sz w:val="22"/>
          <w:szCs w:val="22"/>
        </w:rPr>
        <w:t xml:space="preserve">If the on-chain state (authoritative) and PostgreSQL state (display only) diverge due to failed transactions, UI bugs, or event listener failures, users will see incorrect information in their dashboards. For a banking platform, this is a trust-destroying failure mode.</w:t>
      </w:r>
    </w:p>
    <w:p>
      <w:pPr>
        <w:pStyle w:val="ListParagraph"/>
        <w:numPr>
          <w:ilvl w:val="0"/>
          <w:numId w:val="2"/>
        </w:numPr>
        <w:spacing w:after="40" w:before="40"/>
      </w:pPr>
      <w:r>
        <w:rPr>
          <w:sz w:val="22"/>
          <w:szCs w:val="22"/>
        </w:rPr>
        <w:t xml:space="preserve">The event listener synchronization service (Express.js listening to contract events and writing to PostgreSQL) is a single point of failure with no stated failover mechanism. If it misses events during a Polygon outage (as occurred in July and September 2025), the PostgreSQL state becomes stale.</w:t>
      </w:r>
    </w:p>
    <w:p>
      <w:pPr>
        <w:pStyle w:val="ListParagraph"/>
        <w:numPr>
          <w:ilvl w:val="0"/>
          <w:numId w:val="2"/>
        </w:numPr>
        <w:spacing w:after="40" w:before="40"/>
      </w:pPr>
      <w:r>
        <w:rPr>
          <w:sz w:val="22"/>
          <w:szCs w:val="22"/>
        </w:rPr>
        <w:t xml:space="preserve">The BORROWING_LIMIT entity is described as 'pre-computed rolling-window limits derived from TRANSACTION records.' But if a client submits two loan applications concurrently (via two different Local Banks), both checks happen before either is recorded — allowing double-borrowing up to the borrowing limit. The on-chain enforcement must use atomic checks, not cached values.</w:t>
      </w:r>
    </w:p>
    <w:p>
      <w:pPr>
        <w:spacing w:after="60" w:before="60"/>
      </w:pPr>
      <w:r>
        <w:t xml:space="preserve"/>
      </w:r>
    </w:p>
    <w:p>
      <w:pPr>
        <w:pStyle w:val="Heading2"/>
        <w:spacing w:after="100" w:before="280"/>
      </w:pPr>
      <w:r>
        <w:rPr>
          <w:b/>
          <w:bCs/>
          <w:color w:val="2E4057"/>
          <w:sz w:val="26"/>
          <w:szCs w:val="26"/>
        </w:rPr>
        <w:t xml:space="preserve">4.3 Upward Deposit Facility: Bank Run Scenario Inadequately Modeled</w:t>
      </w:r>
    </w:p>
    <w:p>
      <w:pPr>
        <w:spacing w:after="120" w:before="80"/>
      </w:pPr>
      <w:r>
        <w:rPr>
          <w:sz w:val="22"/>
          <w:szCs w:val="22"/>
        </w:rPr>
        <w:t xml:space="preserve">The 20%/24hr circuit breaker on upward deposits is presented as sufficient protection against bank runs. This requires stronger defense.</w:t>
      </w:r>
    </w:p>
    <w:p>
      <w:pPr>
        <w:pStyle w:val="ListParagraph"/>
        <w:numPr>
          <w:ilvl w:val="0"/>
          <w:numId w:val="2"/>
        </w:numPr>
        <w:spacing w:after="40" w:before="40"/>
      </w:pPr>
      <w:r>
        <w:rPr>
          <w:sz w:val="22"/>
          <w:szCs w:val="22"/>
        </w:rPr>
        <w:t xml:space="preserve">If 6 National Banks simultaneously hit the 20% daily withdrawal ceiling, the World Bank Reserve could still face a $1.72B × 0.20 = $344M daily drain — a number that dwarfs any realistic reserve buffer for an early-stage platform.</w:t>
      </w:r>
    </w:p>
    <w:p>
      <w:pPr>
        <w:pStyle w:val="ListParagraph"/>
        <w:numPr>
          <w:ilvl w:val="0"/>
          <w:numId w:val="2"/>
        </w:numPr>
        <w:spacing w:after="40" w:before="40"/>
      </w:pPr>
      <w:r>
        <w:rPr>
          <w:sz w:val="22"/>
          <w:szCs w:val="22"/>
        </w:rPr>
        <w:t xml:space="preserve">The circuit breaker resets 'at each UTC midnight checkpoint.' An attacker can time withdrawals to straddle two UTC days, effectively doubling the withdrawal rate.</w:t>
      </w:r>
    </w:p>
    <w:p>
      <w:pPr>
        <w:pStyle w:val="ListParagraph"/>
        <w:numPr>
          <w:ilvl w:val="0"/>
          <w:numId w:val="2"/>
        </w:numPr>
        <w:spacing w:after="40" w:before="40"/>
      </w:pPr>
      <w:r>
        <w:rPr>
          <w:sz w:val="22"/>
          <w:szCs w:val="22"/>
        </w:rPr>
        <w:t xml:space="preserve">The 'recursive cap' (30% net upward exposure limit) conflicts with the upward deposit incentive structure: if Local Banks are encouraged to deposit surplus with National Banks for yield, but capped at 30% of assets, the mechanism's economic benefit is severely limited.</w:t>
      </w:r>
    </w:p>
    <w:p>
      <w:pPr>
        <w:spacing w:after="60" w:before="60"/>
      </w:pPr>
      <w:r>
        <w:t xml:space="preserve"/>
      </w:r>
    </w:p>
    <w:p>
      <w:pPr>
        <w:pStyle w:val="Heading2"/>
        <w:spacing w:after="100" w:before="280"/>
      </w:pPr>
      <w:r>
        <w:rPr>
          <w:b/>
          <w:bCs/>
          <w:color w:val="2E4057"/>
          <w:sz w:val="26"/>
          <w:szCs w:val="26"/>
        </w:rPr>
        <w:t xml:space="preserve">4.4 Group Lending: Social Enforcement Cannot Be Encoded</w:t>
      </w:r>
    </w:p>
    <w:p>
      <w:pPr>
        <w:spacing w:after="120" w:before="80"/>
      </w:pPr>
      <w:r>
        <w:rPr>
          <w:sz w:val="22"/>
          <w:szCs w:val="22"/>
        </w:rPr>
        <w:t xml:space="preserve">The thesis correctly notes that 'on-chain enforcement is punitive — it responds after default' while Grameen's social pressure is 'preventive.' However, the implications of this distinction are not fully carried through the feasibility analysis.</w:t>
      </w:r>
    </w:p>
    <w:p>
      <w:pPr>
        <w:pStyle w:val="ListParagraph"/>
        <w:numPr>
          <w:ilvl w:val="0"/>
          <w:numId w:val="2"/>
        </w:numPr>
        <w:spacing w:after="40" w:before="40"/>
      </w:pPr>
      <w:r>
        <w:rPr>
          <w:sz w:val="22"/>
          <w:szCs w:val="22"/>
        </w:rPr>
        <w:t xml:space="preserve">Grameen's 95%+ repayment rate requires: field officers who know borrowers personally, weekly physical group meetings, community reputation as collateral, and the social humiliation of default. None of these exist on-chain.</w:t>
      </w:r>
    </w:p>
    <w:p>
      <w:pPr>
        <w:pStyle w:val="ListParagraph"/>
        <w:numPr>
          <w:ilvl w:val="0"/>
          <w:numId w:val="2"/>
        </w:numPr>
        <w:spacing w:after="40" w:before="40"/>
      </w:pPr>
      <w:r>
        <w:rPr>
          <w:sz w:val="22"/>
          <w:szCs w:val="22"/>
        </w:rPr>
        <w:t xml:space="preserve">The thesis estimates 8-15% initial default rates for group lending. At 15% defaults and 8% APR, the math: $100 lent, $15 defaulted, $85 × 8% = $6.80 interest. Net loss per $100 lent = $15 - $6.80 = $8.20. The group lending product loses money at the stress-test default rate.</w:t>
      </w:r>
    </w:p>
    <w:p>
      <w:pPr>
        <w:pStyle w:val="ListParagraph"/>
        <w:numPr>
          <w:ilvl w:val="0"/>
          <w:numId w:val="2"/>
        </w:numPr>
        <w:spacing w:after="40" w:before="40"/>
      </w:pPr>
      <w:r>
        <w:rPr>
          <w:sz w:val="22"/>
          <w:szCs w:val="22"/>
        </w:rPr>
        <w:t xml:space="preserve">The 3-month provisional credit tier for cold-start clients, combined with the cooling-off period and DTI enforcement, creates a bottleneck that will slow adoption to a crawl in early phases. The thesis doesn't model the conversion rate through these gates.</w:t>
      </w:r>
    </w:p>
    <w:p>
      <w:pPr>
        <w:spacing w:after="60" w:before="60"/>
      </w:pPr>
      <w:r>
        <w:t xml:space="preserve"/>
      </w:r>
    </w:p>
    <w:p>
      <w:pPr>
        <w:pStyle w:val="Heading2"/>
        <w:spacing w:after="100" w:before="280"/>
      </w:pPr>
      <w:r>
        <w:rPr>
          <w:b/>
          <w:bCs/>
          <w:color w:val="2E4057"/>
          <w:sz w:val="26"/>
          <w:szCs w:val="26"/>
        </w:rPr>
        <w:t xml:space="preserve">4.5 Credit Passport SBT: Identity Continuity Risk</w:t>
      </w:r>
    </w:p>
    <w:p>
      <w:pPr>
        <w:spacing w:after="120" w:before="80"/>
      </w:pPr>
      <w:r>
        <w:rPr>
          <w:sz w:val="22"/>
          <w:szCs w:val="22"/>
        </w:rPr>
        <w:t xml:space="preserve">The SBT-based credit passport is an elegant design concept, but has a critical vulnerability the thesis partially acknowledges.</w:t>
      </w:r>
    </w:p>
    <w:p>
      <w:pPr>
        <w:pStyle w:val="ListParagraph"/>
        <w:numPr>
          <w:ilvl w:val="0"/>
          <w:numId w:val="2"/>
        </w:numPr>
        <w:spacing w:after="40" w:before="40"/>
      </w:pPr>
      <w:r>
        <w:rPr>
          <w:sz w:val="22"/>
          <w:szCs w:val="22"/>
        </w:rPr>
        <w:t xml:space="preserve">The thesis notes that 'ERC-4337 social recovery produces a new wallet address for the same user' and that 'credit history continuity' is preserved by decoupling identity from wallet address. However, the production identity schema (IDENTITY table + WALLET table) is future work, and the prototype uses wallet address as the unique key. The transition plan between these schemas is undefined.</w:t>
      </w:r>
    </w:p>
    <w:p>
      <w:pPr>
        <w:pStyle w:val="ListParagraph"/>
        <w:numPr>
          <w:ilvl w:val="0"/>
          <w:numId w:val="2"/>
        </w:numPr>
        <w:spacing w:after="40" w:before="40"/>
      </w:pPr>
      <w:r>
        <w:rPr>
          <w:sz w:val="22"/>
          <w:szCs w:val="22"/>
        </w:rPr>
        <w:t xml:space="preserve">If a user's SBT wallet is compromised, the SBT (permanently recording defaults, risk tier, repayment history) is now held by the attacker — and cannot be revoked per the Buterin non-revocability principle. A user cannot recover from wallet compromise without forfeiting their entire credit history.</w:t>
      </w:r>
    </w:p>
    <w:p>
      <w:pPr>
        <w:pStyle w:val="ListParagraph"/>
        <w:numPr>
          <w:ilvl w:val="0"/>
          <w:numId w:val="2"/>
        </w:numPr>
        <w:spacing w:after="40" w:before="40"/>
      </w:pPr>
      <w:r>
        <w:rPr>
          <w:sz w:val="22"/>
          <w:szCs w:val="22"/>
        </w:rPr>
        <w:t xml:space="preserve">The 'permanent riskTier downgrade after default' means a single technical failure (a failed transaction that is recorded as a default due to a smart contract bug) results in permanent borrowing ineligibility. No appeals process is described.</w:t>
      </w:r>
    </w:p>
    <w:p>
      <w:pPr>
        <w:spacing w:after="60" w:before="60"/>
      </w:pPr>
      <w:r>
        <w:t xml:space="preserve"/>
      </w:r>
    </w:p>
    <w:p>
      <w:r>
        <w:br w:type="page"/>
      </w:r>
    </w:p>
    <w:p>
      <w:pPr>
        <w:pStyle w:val="Heading1"/>
        <w:spacing w:after="120" w:before="360"/>
      </w:pPr>
      <w:r>
        <w:rPr>
          <w:b/>
          <w:bCs/>
          <w:color w:val="1A237E"/>
          <w:sz w:val="32"/>
          <w:szCs w:val="32"/>
        </w:rPr>
        <w:t xml:space="preserve">5. MARKET ANALYSIS — FIELDS REQUIRING STRONGER DEFENSE</w:t>
      </w:r>
    </w:p>
    <w:p>
      <w:pPr>
        <w:pStyle w:val="Heading2"/>
        <w:spacing w:after="100" w:before="280"/>
      </w:pPr>
      <w:r>
        <w:rPr>
          <w:b/>
          <w:bCs/>
          <w:color w:val="2E4057"/>
          <w:sz w:val="26"/>
          <w:szCs w:val="26"/>
        </w:rPr>
        <w:t xml:space="preserve">5.1 TAM/SAM/SOM: Methodological Weaknesses</w:t>
      </w:r>
    </w:p>
    <w:p>
      <w:pPr>
        <w:spacing w:after="120" w:before="80"/>
      </w:pPr>
      <w:r>
        <w:rPr>
          <w:sz w:val="22"/>
          <w:szCs w:val="22"/>
        </w:rPr>
        <w:t xml:space="preserve">The market sizing methodology uses headline numbers ("$55B DeFi TVL," "$860B remittances," "$4.5T MSME gap") as TAM components but combines fundamentally different markets.</w:t>
      </w:r>
    </w:p>
    <w:p>
      <w:pPr>
        <w:pStyle w:val="ListParagraph"/>
        <w:numPr>
          <w:ilvl w:val="0"/>
          <w:numId w:val="2"/>
        </w:numPr>
        <w:spacing w:after="40" w:before="40"/>
      </w:pPr>
      <w:r>
        <w:rPr>
          <w:sz w:val="22"/>
          <w:szCs w:val="22"/>
        </w:rPr>
        <w:t xml:space="preserve">DeFi TVL is not a market size — it is collateral locked. The actual annual revenue generated by $55B TVL in DeFi lending is approximately $2-4B (based on 4-8% APY). Adding $860B remittances and $4.5T MSME gap to DeFi TVL to calculate TAM is methodologically unsound.</w:t>
      </w:r>
    </w:p>
    <w:p>
      <w:pPr>
        <w:pStyle w:val="ListParagraph"/>
        <w:numPr>
          <w:ilvl w:val="0"/>
          <w:numId w:val="2"/>
        </w:numPr>
        <w:spacing w:after="40" w:before="40"/>
      </w:pPr>
      <w:r>
        <w:rPr>
          <w:sz w:val="22"/>
          <w:szCs w:val="22"/>
        </w:rPr>
        <w:t xml:space="preserve">The SAM of $5-15B is asserted without supporting evidence or methodology. How was this figure derived? What percentage of the total institutional lending market requires hierarchical blockchain infrastructure?</w:t>
      </w:r>
    </w:p>
    <w:p>
      <w:pPr>
        <w:pStyle w:val="ListParagraph"/>
        <w:numPr>
          <w:ilvl w:val="0"/>
          <w:numId w:val="2"/>
        </w:numPr>
        <w:spacing w:after="40" w:before="40"/>
      </w:pPr>
      <w:r>
        <w:rPr>
          <w:sz w:val="22"/>
          <w:szCs w:val="22"/>
        </w:rPr>
        <w:t xml:space="preserve">The SOM of $50-200M for "pilot deployments in regulatory sandboxes" is aspirational. Regulatory sandbox deployments typically handle transactions in the thousands to millions of dollars, not hundreds of millions.</w:t>
      </w:r>
    </w:p>
    <w:p>
      <w:pPr>
        <w:spacing w:after="60" w:before="60"/>
      </w:pPr>
      <w:r>
        <w:t xml:space="preserve"/>
      </w:r>
    </w:p>
    <w:p>
      <w:pPr>
        <w:pStyle w:val="Heading2"/>
        <w:spacing w:after="100" w:before="280"/>
      </w:pPr>
      <w:r>
        <w:rPr>
          <w:b/>
          <w:bCs/>
          <w:color w:val="2E4057"/>
          <w:sz w:val="26"/>
          <w:szCs w:val="26"/>
        </w:rPr>
        <w:t xml:space="preserve">5.2 Competitive Landscape: Missing Entrants</w:t>
      </w:r>
    </w:p>
    <w:p>
      <w:pPr>
        <w:spacing w:after="120" w:before="80"/>
      </w:pPr>
      <w:r>
        <w:rPr>
          <w:sz w:val="22"/>
          <w:szCs w:val="22"/>
        </w:rPr>
        <w:t xml:space="preserve">The competitive analysis covers well-known protocols (Aave, Compound, Maple, Goldfinch) but misses several emerging competitors in the institutional/developing-economy DeFi space.</w:t>
      </w:r>
    </w:p>
    <w:p>
      <w:pPr>
        <w:pStyle w:val="ListParagraph"/>
        <w:numPr>
          <w:ilvl w:val="0"/>
          <w:numId w:val="2"/>
        </w:numPr>
        <w:spacing w:after="40" w:before="40"/>
      </w:pPr>
      <w:r>
        <w:rPr>
          <w:sz w:val="22"/>
          <w:szCs w:val="22"/>
        </w:rPr>
        <w:t xml:space="preserve">Celo's MiniPay (now in Opera browser) has 14M+ wallets across 60+ countries with sub-cent transactions and is actively expanding into savings and lending products — a direct competitor for the retail financial inclusion market.</w:t>
      </w:r>
    </w:p>
    <w:p>
      <w:pPr>
        <w:pStyle w:val="ListParagraph"/>
        <w:numPr>
          <w:ilvl w:val="0"/>
          <w:numId w:val="2"/>
        </w:numPr>
        <w:spacing w:after="40" w:before="40"/>
      </w:pPr>
      <w:r>
        <w:rPr>
          <w:sz w:val="22"/>
          <w:szCs w:val="22"/>
        </w:rPr>
        <w:t xml:space="preserve">Credix and Clearpool have both launched developing-economy credit facilities on Solana and Ethereum. Neither is mentioned.</w:t>
      </w:r>
    </w:p>
    <w:p>
      <w:pPr>
        <w:pStyle w:val="ListParagraph"/>
        <w:numPr>
          <w:ilvl w:val="0"/>
          <w:numId w:val="2"/>
        </w:numPr>
        <w:spacing w:after="40" w:before="40"/>
      </w:pPr>
      <w:r>
        <w:rPr>
          <w:sz w:val="22"/>
          <w:szCs w:val="22"/>
        </w:rPr>
        <w:t xml:space="preserve">Central bank-sponsored blockchain programs in Southeast Asia (Thailand, Indonesia, Philippines) are creating regulated environments for blockchain lending — potentially reaching Bangladesh before CWB does.</w:t>
      </w:r>
    </w:p>
    <w:p>
      <w:pPr>
        <w:spacing w:after="60" w:before="60"/>
      </w:pPr>
      <w:r>
        <w:t xml:space="preserve"/>
      </w:r>
    </w:p>
    <w:p>
      <w:pPr>
        <w:pStyle w:val="Heading2"/>
        <w:spacing w:after="100" w:before="280"/>
      </w:pPr>
      <w:r>
        <w:rPr>
          <w:b/>
          <w:bCs/>
          <w:color w:val="2E4057"/>
          <w:sz w:val="26"/>
          <w:szCs w:val="26"/>
        </w:rPr>
        <w:t xml:space="preserve">5.3 Partner Ecosystem: No Committed Partners</w:t>
      </w:r>
    </w:p>
    <w:p>
      <w:pPr>
        <w:spacing w:after="120" w:before="80"/>
      </w:pPr>
      <w:r>
        <w:rPr>
          <w:sz w:val="22"/>
          <w:szCs w:val="22"/>
        </w:rPr>
        <w:t xml:space="preserve">The partner ecosystem table lists five partner categories (Financial Regulators, Banking Institutions, Payment Gateway Providers, Academic &amp; Research Institutions, NGOs). No specific partners, LOIs, or MoUs are cited. The feasibility of the platform depends entirely on obtaining these partners, making partner acquisition the critical path — not acknowledged as a risk.</w:t>
      </w:r>
    </w:p>
    <w:p>
      <w:pPr>
        <w:pBdr>
          <w:left w:val="single" w:color="C62828" w:sz="12" w:space="6"/>
        </w:pBdr>
        <w:spacing w:after="120" w:before="120"/>
        <w:ind w:left="360"/>
      </w:pPr>
      <w:r>
        <w:rPr>
          <w:b/>
          <w:bCs/>
          <w:color w:val="C62828"/>
          <w:sz w:val="22"/>
          <w:szCs w:val="22"/>
        </w:rPr>
        <w:t xml:space="preserve">Key Question for Examiners: </w:t>
      </w:r>
      <w:r>
        <w:rPr>
          <w:i/>
          <w:iCs/>
          <w:sz w:val="22"/>
          <w:szCs w:val="22"/>
        </w:rPr>
        <w:t xml:space="preserve">What happens if no National or Local Bank wants to join the network? The platform is worthless without institutional members, and institutional banking adoption of DeFi protocols remains nascent (Sygnum 2026 report cited in the thesis: 'no large institutional allocator will participate until legal and regulatory risks are resolved').</w:t>
      </w:r>
    </w:p>
    <w:p>
      <w:pPr>
        <w:spacing w:after="60" w:before="60"/>
      </w:pPr>
      <w:r>
        <w:t xml:space="preserve"/>
      </w:r>
    </w:p>
    <w:p>
      <w:r>
        <w:br w:type="page"/>
      </w:r>
    </w:p>
    <w:p>
      <w:pPr>
        <w:pStyle w:val="Heading1"/>
        <w:spacing w:after="120" w:before="360"/>
      </w:pPr>
      <w:r>
        <w:rPr>
          <w:b/>
          <w:bCs/>
          <w:color w:val="1A237E"/>
          <w:sz w:val="32"/>
          <w:szCs w:val="32"/>
        </w:rPr>
        <w:t xml:space="preserve">6. RECOMMENDED IMPROVEMENTS</w:t>
      </w:r>
    </w:p>
    <w:p>
      <w:pPr>
        <w:pStyle w:val="Heading2"/>
        <w:spacing w:after="100" w:before="280"/>
      </w:pPr>
      <w:r>
        <w:rPr>
          <w:b/>
          <w:bCs/>
          <w:color w:val="2E4057"/>
          <w:sz w:val="26"/>
          <w:szCs w:val="26"/>
        </w:rPr>
        <w:t xml:space="preserve">6.1 Immediate Improvements (Pre-Submission)</w:t>
      </w:r>
    </w:p>
    <w:p>
      <w:pPr>
        <w:pStyle w:val="ListParagraph"/>
        <w:numPr>
          <w:ilvl w:val="0"/>
          <w:numId w:val="3"/>
        </w:numPr>
        <w:spacing w:after="40" w:before="40"/>
      </w:pPr>
      <w:r>
        <w:rPr>
          <w:sz w:val="22"/>
          <w:szCs w:val="22"/>
        </w:rPr>
        <w:t xml:space="preserve">Revise the revenue projection to include a 3-5 year adoption ramp with Year 1, Year 2, Year 3 milestones (active banks, active loans, revenue). Show the path from 200 active loans (break-even) to full scale, including realistic time and cost.</w:t>
      </w:r>
    </w:p>
    <w:p>
      <w:pPr>
        <w:pStyle w:val="ListParagraph"/>
        <w:numPr>
          <w:ilvl w:val="0"/>
          <w:numId w:val="3"/>
        </w:numPr>
        <w:spacing w:after="40" w:before="40"/>
      </w:pPr>
      <w:r>
        <w:rPr>
          <w:sz w:val="22"/>
          <w:szCs w:val="22"/>
        </w:rPr>
        <w:t xml:space="preserve">Add a break-even analysis at the actual stress-test default rate (15%). If the platform loses money at 15% defaults, state this explicitly and propose the minimum APR needed to remain profitable at that default rate.</w:t>
      </w:r>
    </w:p>
    <w:p>
      <w:pPr>
        <w:pStyle w:val="ListParagraph"/>
        <w:numPr>
          <w:ilvl w:val="0"/>
          <w:numId w:val="3"/>
        </w:numPr>
        <w:spacing w:after="40" w:before="40"/>
      </w:pPr>
      <w:r>
        <w:rPr>
          <w:sz w:val="22"/>
          <w:szCs w:val="22"/>
        </w:rPr>
        <w:t xml:space="preserve">Replace the 3.7% optimistic default scenario (Grameen Bank reference) with 5% as the optimistic case, with full acknowledgment that this is only achievable after 5+ years of credit history accumulation.</w:t>
      </w:r>
    </w:p>
    <w:p>
      <w:pPr>
        <w:pStyle w:val="ListParagraph"/>
        <w:numPr>
          <w:ilvl w:val="0"/>
          <w:numId w:val="3"/>
        </w:numPr>
        <w:spacing w:after="40" w:before="40"/>
      </w:pPr>
      <w:r>
        <w:rPr>
          <w:sz w:val="22"/>
          <w:szCs w:val="22"/>
        </w:rPr>
        <w:t xml:space="preserve">Reframe the Bangladesh deployment as a 3-5 year horizon target pending CBDC issuance and regulatory sandbox approval. Propose an interim jurisdiction (e.g., Singapore, UAE, or EU) where crypto lending is currently regulable and identify it as the pilot market.</w:t>
      </w:r>
    </w:p>
    <w:p>
      <w:pPr>
        <w:pStyle w:val="ListParagraph"/>
        <w:numPr>
          <w:ilvl w:val="0"/>
          <w:numId w:val="3"/>
        </w:numPr>
        <w:spacing w:after="40" w:before="40"/>
      </w:pPr>
      <w:r>
        <w:rPr>
          <w:sz w:val="22"/>
          <w:szCs w:val="22"/>
        </w:rPr>
        <w:t xml:space="preserve">Reduce the final thesis implementation scope to 6-7 contracts: WorldBankReserve (done), NationalBank (done), LocalBank (done), SavingsVault, GroupLendingPool, InsuranceFund, and LiquidationEngine. Move IBLP, NettingEngine, SyndicatedLoan, TranchedPool, TreasurySwap, and UpwardDepositFacility to 'Future Work' with full specifications.</w:t>
      </w:r>
    </w:p>
    <w:p>
      <w:pPr>
        <w:pStyle w:val="ListParagraph"/>
        <w:numPr>
          <w:ilvl w:val="0"/>
          <w:numId w:val="3"/>
        </w:numPr>
        <w:spacing w:after="40" w:before="40"/>
      </w:pPr>
      <w:r>
        <w:rPr>
          <w:sz w:val="22"/>
          <w:szCs w:val="22"/>
        </w:rPr>
        <w:t xml:space="preserve">Fix the oracle collusion vector: remove the Local Bank operator key from the 2-of-3 multi-signer attestation. Replace with: (1) FastAPI ML service key, (2) an independent verifier node (could be a second ML service instance), (3) World Bank governance key.</w:t>
      </w:r>
    </w:p>
    <w:p>
      <w:pPr>
        <w:pStyle w:val="ListParagraph"/>
        <w:numPr>
          <w:ilvl w:val="0"/>
          <w:numId w:val="3"/>
        </w:numPr>
        <w:spacing w:after="40" w:before="40"/>
      </w:pPr>
      <w:r>
        <w:rPr>
          <w:sz w:val="22"/>
          <w:szCs w:val="22"/>
        </w:rPr>
        <w:t xml:space="preserve">Add a Customer Acquisition Cost (CAC) analysis estimating the cost of onboarding 1 retail client in rural Bangladesh, including education, device access support, Bengali interface development, and MFS integration. Compare this against the expected lifetime value (LTV) of that client.</w:t>
      </w:r>
    </w:p>
    <w:p>
      <w:pPr>
        <w:spacing w:after="60" w:before="60"/>
      </w:pPr>
      <w:r>
        <w:t xml:space="preserve"/>
      </w:r>
    </w:p>
    <w:p>
      <w:pPr>
        <w:pStyle w:val="Heading2"/>
        <w:spacing w:after="100" w:before="280"/>
      </w:pPr>
      <w:r>
        <w:rPr>
          <w:b/>
          <w:bCs/>
          <w:color w:val="2E4057"/>
          <w:sz w:val="26"/>
          <w:szCs w:val="26"/>
        </w:rPr>
        <w:t xml:space="preserve">6.2 Medium-Term Improvements (For Final Thesis)</w:t>
      </w:r>
    </w:p>
    <w:p>
      <w:pPr>
        <w:pStyle w:val="ListParagraph"/>
        <w:numPr>
          <w:ilvl w:val="0"/>
          <w:numId w:val="3"/>
        </w:numPr>
        <w:spacing w:after="40" w:before="40"/>
      </w:pPr>
      <w:r>
        <w:rPr>
          <w:sz w:val="22"/>
          <w:szCs w:val="22"/>
        </w:rPr>
        <w:t xml:space="preserve">Commission or conduct an independent security analysis of the 3 implemented contracts using Slither and Mythril before the final thesis submission. Publish the audit report as an appendix — this is what production DeFi protocols do and would meaningfully differentiate the academic contribution.</w:t>
      </w:r>
    </w:p>
    <w:p>
      <w:pPr>
        <w:pStyle w:val="ListParagraph"/>
        <w:numPr>
          <w:ilvl w:val="0"/>
          <w:numId w:val="3"/>
        </w:numPr>
        <w:spacing w:after="40" w:before="40"/>
      </w:pPr>
      <w:r>
        <w:rPr>
          <w:sz w:val="22"/>
          <w:szCs w:val="22"/>
        </w:rPr>
        <w:t xml:space="preserve">Produce at least one Certora CVL specification (even a partial one) for the reserve invariant and include the verification output log. This converts 'formal verification planned' into a demonstrated artifact.</w:t>
      </w:r>
    </w:p>
    <w:p>
      <w:pPr>
        <w:pStyle w:val="ListParagraph"/>
        <w:numPr>
          <w:ilvl w:val="0"/>
          <w:numId w:val="3"/>
        </w:numPr>
        <w:spacing w:after="40" w:before="40"/>
      </w:pPr>
      <w:r>
        <w:rPr>
          <w:sz w:val="22"/>
          <w:szCs w:val="22"/>
        </w:rPr>
        <w:t xml:space="preserve">Add a dedicated Polygon PoS risk section in the technical feasibility assessment, addressing validator centralization (47% controlled by top 5), the 2024 and 2025 outages, and the MATIC→POL migration risk. Propose a mitigation (e.g., Ethereum L2 zkEVM fallback) if Polygon reliability degrades.</w:t>
      </w:r>
    </w:p>
    <w:p>
      <w:pPr>
        <w:pStyle w:val="ListParagraph"/>
        <w:numPr>
          <w:ilvl w:val="0"/>
          <w:numId w:val="3"/>
        </w:numPr>
        <w:spacing w:after="40" w:before="40"/>
      </w:pPr>
      <w:r>
        <w:rPr>
          <w:sz w:val="22"/>
          <w:szCs w:val="22"/>
        </w:rPr>
        <w:t xml:space="preserve">Replace the LLM local hardware architecture with a production-grade specification: define whether the production assistant uses a hosted API (Anthropic, OpenAI) or self-hosted inference, specify the hardware requirements, and include cost per query in the economic model.</w:t>
      </w:r>
    </w:p>
    <w:p>
      <w:pPr>
        <w:pStyle w:val="ListParagraph"/>
        <w:numPr>
          <w:ilvl w:val="0"/>
          <w:numId w:val="3"/>
        </w:numPr>
        <w:spacing w:after="40" w:before="40"/>
      </w:pPr>
      <w:r>
        <w:rPr>
          <w:sz w:val="22"/>
          <w:szCs w:val="22"/>
        </w:rPr>
        <w:t xml:space="preserve">Add an on-chain/off-chain state divergence recovery procedure: what happens when the event listener misses events during a Polygon outage? Define the reconciliation process and maximum tolerable staleness for the PostgreSQL replica.</w:t>
      </w:r>
    </w:p>
    <w:p>
      <w:pPr>
        <w:pStyle w:val="ListParagraph"/>
        <w:numPr>
          <w:ilvl w:val="0"/>
          <w:numId w:val="3"/>
        </w:numPr>
        <w:spacing w:after="40" w:before="40"/>
      </w:pPr>
      <w:r>
        <w:rPr>
          <w:sz w:val="22"/>
          <w:szCs w:val="22"/>
        </w:rPr>
        <w:t xml:space="preserve">Model the Paymaster gas subsidy cost explicitly: estimate the total gas subsidy cost per cohort of 1,000 retail users through the pre-KYC bootstrap phase, and include this in the economic feasibility cost model.</w:t>
      </w:r>
    </w:p>
    <w:p>
      <w:pPr>
        <w:pStyle w:val="ListParagraph"/>
        <w:numPr>
          <w:ilvl w:val="0"/>
          <w:numId w:val="3"/>
        </w:numPr>
        <w:spacing w:after="40" w:before="40"/>
      </w:pPr>
      <w:r>
        <w:rPr>
          <w:sz w:val="22"/>
          <w:szCs w:val="22"/>
        </w:rPr>
        <w:t xml:space="preserve">Extend the threat model to cover the full 15-contract system's cross-contract reentrancy surface, specifically the SavingsVault ↔ GroupLendingPool ↔ InsuranceFund interaction during group default resolution.</w:t>
      </w:r>
    </w:p>
    <w:p>
      <w:pPr>
        <w:spacing w:after="60" w:before="60"/>
      </w:pPr>
      <w:r>
        <w:t xml:space="preserve"/>
      </w:r>
    </w:p>
    <w:p>
      <w:pPr>
        <w:pStyle w:val="Heading2"/>
        <w:spacing w:after="100" w:before="280"/>
      </w:pPr>
      <w:r>
        <w:rPr>
          <w:b/>
          <w:bCs/>
          <w:color w:val="2E4057"/>
          <w:sz w:val="26"/>
          <w:szCs w:val="26"/>
        </w:rPr>
        <w:t xml:space="preserve">6.3 Structural Recommendations for the Feasibility Study</w:t>
      </w:r>
    </w:p>
    <w:tbl>
      <w:tblPr>
        <w:tblW w:type="dxa" w:w="82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3660"/>
      </w:tblGrid>
      <w:tr>
        <w:trPr>
          <w:tblHeader/>
        </w:trPr>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Weakness</w:t>
            </w:r>
          </w:p>
        </w:tc>
        <w:tc>
          <w:tcPr>
            <w:tcW w:type="dxa" w:w="26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What the Thesis Claims</w:t>
            </w:r>
          </w:p>
        </w:tc>
        <w:tc>
          <w:tcPr>
            <w:tcW w:type="dxa" w:w="36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What Should Be Added</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Revenue model</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$137.6M at full deployment</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3-year ramp from $0 to scale; CAC analysis; Year 1 revenue forecast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Default rates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Base case 8%, optimistic 3.7%</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Base case 12%, optimistic 8%, stress 20%; group lending modeled separately</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Bangladesh market</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Primary target; RFFO sandbox path exists</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Moved to 3-5yr horizon; interim jurisdiction (Singapore/UAE) identified as pilot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Sprint plan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12 contracts in 2 sprints</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3-4 contracts per sprint; IBLP/NettingEngine moved to Future Work</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Polygon reliability</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~100 validators, 2s finality, 99.5% SLA</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Centralization risk (47%/top-5), 2024-2025 outages, SLA caveat strengthened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Partner ecosystem</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5 categories described</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At least one named NGO or MFI partner with expressed interest cited</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Competitive landscape</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Missing Celo/MiniPay, Credix, Clearpool</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Add 3-4 direct competitors in inclusion/credit space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LLM production arch</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Gaming GPU / llama.cpp ROCm</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Specify production deployment path and cost</w:t>
            </w:r>
          </w:p>
        </w:tc>
      </w:tr>
    </w:tbl>
    <w:p>
      <w:pPr>
        <w:spacing w:after="60" w:before="60"/>
      </w:pPr>
      <w:r>
        <w:t xml:space="preserve"/>
      </w:r>
    </w:p>
    <w:p>
      <w:r>
        <w:br w:type="page"/>
      </w:r>
    </w:p>
    <w:p>
      <w:pPr>
        <w:pStyle w:val="Heading1"/>
        <w:spacing w:after="120" w:before="360"/>
      </w:pPr>
      <w:r>
        <w:rPr>
          <w:b/>
          <w:bCs/>
          <w:color w:val="1A237E"/>
          <w:sz w:val="32"/>
          <w:szCs w:val="32"/>
        </w:rPr>
        <w:t xml:space="preserve">7. GENUINE STRENGTHS — WHAT IS WELL-ARGUED</w:t>
      </w:r>
    </w:p>
    <w:p>
      <w:pPr>
        <w:spacing w:after="120" w:before="80"/>
      </w:pPr>
      <w:r>
        <w:rPr>
          <w:sz w:val="22"/>
          <w:szCs w:val="22"/>
        </w:rPr>
        <w:t xml:space="preserve">This analysis focuses on weaknesses, but the thesis demonstrates several genuine intellectual contributions that should be preserved and strengthened rather than abandoned:</w:t>
      </w:r>
    </w:p>
    <w:p>
      <w:pPr>
        <w:pStyle w:val="ListParagraph"/>
        <w:numPr>
          <w:ilvl w:val="0"/>
          <w:numId w:val="2"/>
        </w:numPr>
        <w:spacing w:after="40" w:before="40"/>
      </w:pPr>
      <w:r>
        <w:rPr>
          <w:sz w:val="22"/>
          <w:szCs w:val="22"/>
        </w:rPr>
        <w:t xml:space="preserve">The four-tier hierarchical architecture is a genuine gap in the DeFi literature. The Werner et al. SoK citation and the comparative protocol table are well-constructed. No existing protocol models cross-tier capital allocation with reserve-ratio enforcement at every tier.</w:t>
      </w:r>
    </w:p>
    <w:p>
      <w:pPr>
        <w:pStyle w:val="ListParagraph"/>
        <w:numPr>
          <w:ilvl w:val="0"/>
          <w:numId w:val="2"/>
        </w:numPr>
        <w:spacing w:after="40" w:before="40"/>
      </w:pPr>
      <w:r>
        <w:rPr>
          <w:sz w:val="22"/>
          <w:szCs w:val="22"/>
        </w:rPr>
        <w:t xml:space="preserve">The stablecoin-first design argument (Section 1.7) is one of the best-argued sections of the thesis. The connection to MiCA/GENIUS Act, the Credit Velocity formula replacing fractional reserve multiplier, and the elimination of ETH price risk for retail borrowers are all defensible and well-sourced.</w:t>
      </w:r>
    </w:p>
    <w:p>
      <w:pPr>
        <w:pStyle w:val="ListParagraph"/>
        <w:numPr>
          <w:ilvl w:val="0"/>
          <w:numId w:val="2"/>
        </w:numPr>
        <w:spacing w:after="40" w:before="40"/>
      </w:pPr>
      <w:r>
        <w:rPr>
          <w:sz w:val="22"/>
          <w:szCs w:val="22"/>
        </w:rPr>
        <w:t xml:space="preserve">The over-indebtedness control section (cross-pool query + DTI enforcement via income hash freshness) is a thoughtful technical response to a real-world microfinance problem. The BRAC/Grameen literature is well-used here.</w:t>
      </w:r>
    </w:p>
    <w:p>
      <w:pPr>
        <w:pStyle w:val="ListParagraph"/>
        <w:numPr>
          <w:ilvl w:val="0"/>
          <w:numId w:val="2"/>
        </w:numPr>
        <w:spacing w:after="40" w:before="40"/>
      </w:pPr>
      <w:r>
        <w:rPr>
          <w:sz w:val="22"/>
          <w:szCs w:val="22"/>
        </w:rPr>
        <w:t xml:space="preserve">The five-layer defense-in-depth architecture is well-structured and covers application, AI/ML, runtime, and operational layers beyond the usual 'smart contract security' discussion.</w:t>
      </w:r>
    </w:p>
    <w:p>
      <w:pPr>
        <w:pStyle w:val="ListParagraph"/>
        <w:numPr>
          <w:ilvl w:val="0"/>
          <w:numId w:val="2"/>
        </w:numPr>
        <w:spacing w:after="40" w:before="40"/>
      </w:pPr>
      <w:r>
        <w:rPr>
          <w:sz w:val="22"/>
          <w:szCs w:val="22"/>
        </w:rPr>
        <w:t xml:space="preserve">The ERC-4337 account abstraction section solves the actual accessibility contradiction clearly and is grounded in current standards (v0.7 EntryPoint address cited).</w:t>
      </w:r>
    </w:p>
    <w:p>
      <w:pPr>
        <w:pStyle w:val="ListParagraph"/>
        <w:numPr>
          <w:ilvl w:val="0"/>
          <w:numId w:val="2"/>
        </w:numPr>
        <w:spacing w:after="40" w:before="40"/>
      </w:pPr>
      <w:r>
        <w:rPr>
          <w:sz w:val="22"/>
          <w:szCs w:val="22"/>
        </w:rPr>
        <w:t xml:space="preserve">The Soulbound Token credit passport with the ICreditPassport interface for cross-protocol composability is an original contribution with practical implications for the undercollateralized lending ecosystem.</w:t>
      </w:r>
    </w:p>
    <w:p>
      <w:pPr>
        <w:spacing w:after="60" w:before="60"/>
      </w:pPr>
      <w:r>
        <w:t xml:space="preserve"/>
      </w:r>
    </w:p>
    <w:p>
      <w:r>
        <w:br w:type="page"/>
      </w:r>
    </w:p>
    <w:p>
      <w:pPr>
        <w:pStyle w:val="Heading1"/>
        <w:spacing w:after="120" w:before="360"/>
      </w:pPr>
      <w:r>
        <w:rPr>
          <w:b/>
          <w:bCs/>
          <w:color w:val="1A237E"/>
          <w:sz w:val="32"/>
          <w:szCs w:val="32"/>
        </w:rPr>
        <w:t xml:space="preserve">8. MASTER CRITICISMS AND IMPROVEMENT LIST</w:t>
      </w:r>
    </w:p>
    <w:tbl>
      <w:tblPr>
        <w:tblW w:type="dxa" w:w="8260"/>
        <w:tblBorders>
          <w:top w:val="single" w:color="auto" w:sz="4"/>
          <w:left w:val="single" w:color="auto" w:sz="4"/>
          <w:bottom w:val="single" w:color="auto" w:sz="4"/>
          <w:right w:val="single" w:color="auto" w:sz="4"/>
          <w:insideH w:val="single" w:color="auto" w:sz="4"/>
          <w:insideV w:val="single" w:color="auto" w:sz="4"/>
        </w:tblBorders>
      </w:tblPr>
      <w:tblGrid>
        <w:gridCol w:w="360"/>
        <w:gridCol w:w="3300"/>
        <w:gridCol w:w="1100"/>
        <w:gridCol w:w="900"/>
        <w:gridCol w:w="2600"/>
      </w:tblGrid>
      <w:tr>
        <w:trPr>
          <w:tblHeader/>
        </w:trPr>
        <w:tc>
          <w:tcPr>
            <w:tcW w:type="dxa" w:w="3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w:t>
            </w:r>
          </w:p>
        </w:tc>
        <w:tc>
          <w:tcPr>
            <w:tcW w:type="dxa" w:w="33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Criticism</w:t>
            </w:r>
          </w:p>
        </w:tc>
        <w:tc>
          <w:tcPr>
            <w:tcW w:type="dxa" w:w="11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Section</w:t>
            </w:r>
          </w:p>
        </w:tc>
        <w:tc>
          <w:tcPr>
            <w:tcW w:type="dxa" w:w="9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Priority</w:t>
            </w:r>
          </w:p>
        </w:tc>
        <w:tc>
          <w:tcPr>
            <w:tcW w:type="dxa" w:w="26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b/>
                <w:bCs/>
                <w:color w:val="FFFFFF"/>
                <w:sz w:val="20"/>
                <w:szCs w:val="20"/>
              </w:rPr>
              <w:t xml:space="preserve">Improvement</w:t>
            </w:r>
          </w:p>
        </w:tc>
      </w:tr>
      <w:tr>
        <w:tc>
          <w:tcPr>
            <w:tcW w:type="dxa" w:w="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1</w:t>
            </w:r>
          </w:p>
        </w:tc>
        <w:tc>
          <w:tcPr>
            <w:tcW w:type="dxa" w:w="3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Revenue projection circular — assumes full deployment to calculate revenue</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Econ 1.1</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CRITICAL</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Add 3-year adoption ramp and Year 1 revenue forecast</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2</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Grameen 3.7% default rate is indefensible for on-chain lending</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Econ 1.2</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CRITICAL</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Replace optimistic scenario with 8%; stress test at 20%</w:t>
            </w:r>
          </w:p>
        </w:tc>
      </w:tr>
      <w:tr>
        <w:tc>
          <w:tcPr>
            <w:tcW w:type="dxa" w:w="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3</w:t>
            </w:r>
          </w:p>
        </w:tc>
        <w:tc>
          <w:tcPr>
            <w:tcW w:type="dxa" w:w="3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No Customer Acquisition Cost (CAC) analysis</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Econ 1.1</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HIGH</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Add CAC estimation for rural Bangladesh retail client</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4</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8% APR may be below sustainable cost of capital</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Econ 1.3</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HIGH</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Add APR sensitivity analysis; benchmark against MFI rates</w:t>
            </w:r>
          </w:p>
        </w:tc>
      </w:tr>
      <w:tr>
        <w:tc>
          <w:tcPr>
            <w:tcW w:type="dxa" w:w="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5</w:t>
            </w:r>
          </w:p>
        </w:tc>
        <w:tc>
          <w:tcPr>
            <w:tcW w:type="dxa" w:w="3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Bootstrap funding plan has no named parties or timelines</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Econ 1.4</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HIGH</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Name at least one potential founding stakeholder</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6</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12 contracts in 2 sprints is not achievable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Tech 2.1</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CRITICAL</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Reduce final thesis scope to 6-7 contracts; defer rest</w:t>
            </w:r>
          </w:p>
        </w:tc>
      </w:tr>
      <w:tr>
        <w:tc>
          <w:tcPr>
            <w:tcW w:type="dxa" w:w="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7</w:t>
            </w:r>
          </w:p>
        </w:tc>
        <w:tc>
          <w:tcPr>
            <w:tcW w:type="dxa" w:w="3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Polygon validator centralization not disclosed</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Tech 2.2</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HIGH</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Add Polygon risk section; propose zkEVM fallback</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8</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Multiple Polygon outages contradict 99.5% SLA</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Tech 2.2</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HIGH</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Strengthen SLA caveat; add outage recovery procedure</w:t>
            </w:r>
          </w:p>
        </w:tc>
      </w:tr>
      <w:tr>
        <w:tc>
          <w:tcPr>
            <w:tcW w:type="dxa" w:w="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9</w:t>
            </w:r>
          </w:p>
        </w:tc>
        <w:tc>
          <w:tcPr>
            <w:tcW w:type="dxa" w:w="3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Oracle collusion vector: Local Bank key in 2-of-3 attestation</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Tech 2.3</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HIGH</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Replace Local Bank operator key with independent verifier</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10</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ML model has no demonstrated performance on real data</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Tech 2.4</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MEDIUM</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Clarify this explicitly; add synthetic data benchmark</w:t>
            </w:r>
          </w:p>
        </w:tc>
      </w:tr>
      <w:tr>
        <w:tc>
          <w:tcPr>
            <w:tcW w:type="dxa" w:w="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11</w:t>
            </w:r>
          </w:p>
        </w:tc>
        <w:tc>
          <w:tcPr>
            <w:tcW w:type="dxa" w:w="3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LLM running on gaming GPU with ROCm bug workarounds</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Tech 2.5</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MEDIUM</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Specify production deployment path and cost</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12</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Bangladesh crypto is legally prohibited through 2026</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Reg 3.1</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CRITICAL</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Reframe as 3-5yr horizon; name interim jurisdiction</w:t>
            </w:r>
          </w:p>
        </w:tc>
      </w:tr>
      <w:tr>
        <w:tc>
          <w:tcPr>
            <w:tcW w:type="dxa" w:w="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13</w:t>
            </w:r>
          </w:p>
        </w:tc>
        <w:tc>
          <w:tcPr>
            <w:tcW w:type="dxa" w:w="3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svUSDC share tokens may constitute EMTs under MiCA Art. 16</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Reg 3.2</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HIGH</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Add legal analysis of whether vault shares require authorization</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14</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On-chain SHA-256 hash may create GDPR Art. 17 tension</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Reg 3.2</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MEDIUM</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Analyze whether document hash reference violates erasure right</w:t>
            </w:r>
          </w:p>
        </w:tc>
      </w:tr>
      <w:tr>
        <w:tc>
          <w:tcPr>
            <w:tcW w:type="dxa" w:w="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15</w:t>
            </w:r>
          </w:p>
        </w:tc>
        <w:tc>
          <w:tcPr>
            <w:tcW w:type="dxa" w:w="3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USDC $3.3B depeg precedent not mentioned</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Reg 3.3</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MEDIUM</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Add stablecoin issuer risk to regulatory feasibility section</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16</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15-contract security analysis covers only 3 built contracts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Sys 4.1</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HIGH</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Scope security claims to implemented contracts only</w:t>
            </w:r>
          </w:p>
        </w:tc>
      </w:tr>
      <w:tr>
        <w:tc>
          <w:tcPr>
            <w:tcW w:type="dxa" w:w="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17</w:t>
            </w:r>
          </w:p>
        </w:tc>
        <w:tc>
          <w:tcPr>
            <w:tcW w:type="dxa" w:w="3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Event listener single point of failure not mitigated</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Sys 4.2</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HIGH</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Define redundancy and recovery for off-chain listener</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18</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Concurrent loan application double-borrowing race condition</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Sys 4.2</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HIGH</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Specify atomic on-chain check preventing concurrent bypass</w:t>
            </w:r>
          </w:p>
        </w:tc>
      </w:tr>
      <w:tr>
        <w:tc>
          <w:tcPr>
            <w:tcW w:type="dxa" w:w="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19</w:t>
            </w:r>
          </w:p>
        </w:tc>
        <w:tc>
          <w:tcPr>
            <w:tcW w:type="dxa" w:w="3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Bank-run circuit breaker may be insufficient at scale</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Sys 4.3</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MEDIUM</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Model 6-NB simultaneous withdrawal scenario</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20</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Group lending loses money at 15% stress default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Sys 4.4</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HIGH</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Model group lending P&amp;L separately; find break-even APR</w:t>
            </w:r>
          </w:p>
        </w:tc>
      </w:tr>
      <w:tr>
        <w:tc>
          <w:tcPr>
            <w:tcW w:type="dxa" w:w="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21</w:t>
            </w:r>
          </w:p>
        </w:tc>
        <w:tc>
          <w:tcPr>
            <w:tcW w:type="dxa" w:w="3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SBT wallet compromise = permanent credit history loss</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Sys 4.5</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MEDIUM</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Define wallet compromise recovery procedure</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22</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TAM methodology combines incomparable market sizes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Mkt 5.1</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MEDIUM</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Use revenue-based TAM not TVL/remittance headline numbers</w:t>
            </w:r>
          </w:p>
        </w:tc>
      </w:tr>
      <w:tr>
        <w:tc>
          <w:tcPr>
            <w:tcW w:type="dxa" w:w="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23</w:t>
            </w:r>
          </w:p>
        </w:tc>
        <w:tc>
          <w:tcPr>
            <w:tcW w:type="dxa" w:w="3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Competitive analysis misses Celo/MiniPay lending expansion</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Mkt 5.2</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MEDIUM</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Add 3-4 direct inclusion/credit competitors</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24</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No named partner institutions or LOIs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Mkt 5.3</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HIGH</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sz w:val="20"/>
                <w:szCs w:val="20"/>
              </w:rPr>
              <w:t xml:space="preserve">Name at least one NGO/MFI with expressed interest</w:t>
            </w:r>
          </w:p>
        </w:tc>
      </w:tr>
      <w:tr>
        <w:tc>
          <w:tcPr>
            <w:tcW w:type="dxa" w:w="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25</w:t>
            </w:r>
          </w:p>
        </w:tc>
        <w:tc>
          <w:tcPr>
            <w:tcW w:type="dxa" w:w="3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DTI ratio enforcement uses 'income_hash_freshness' which requires off-chain income data not yet integrated</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Sys 4.4</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MEDIUM</w:t>
            </w:r>
          </w:p>
        </w:tc>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top"/>
          </w:tcPr>
          <w:p>
            <w:r>
              <w:rPr>
                <w:sz w:val="20"/>
                <w:szCs w:val="20"/>
              </w:rPr>
              <w:t xml:space="preserve">Clarify income verification integration path</w:t>
            </w:r>
          </w:p>
        </w:tc>
      </w:tr>
    </w:tbl>
    <w:p>
      <w:pPr>
        <w:spacing w:after="60" w:before="60"/>
      </w:pPr>
      <w:r>
        <w:t xml:space="preserve"/>
      </w:r>
    </w:p>
    <w:p>
      <w:r>
        <w:br w:type="page"/>
      </w:r>
    </w:p>
    <w:p>
      <w:pPr>
        <w:pStyle w:val="Heading1"/>
        <w:spacing w:after="120" w:before="360"/>
      </w:pPr>
      <w:r>
        <w:rPr>
          <w:b/>
          <w:bCs/>
          <w:color w:val="1A237E"/>
          <w:sz w:val="32"/>
          <w:szCs w:val="32"/>
        </w:rPr>
        <w:t xml:space="preserve">9. CONCLUSION</w:t>
      </w:r>
    </w:p>
    <w:p>
      <w:pPr>
        <w:spacing w:after="120" w:before="80"/>
      </w:pPr>
      <w:r>
        <w:rPr>
          <w:sz w:val="22"/>
          <w:szCs w:val="22"/>
        </w:rPr>
        <w:t xml:space="preserve">The Crypto World Bank pre-thesis v22 represents genuine academic work with original contributions: a four-tier hierarchical DeFi architecture with no direct precedent in the literature, a thoughtful compliance-aware ZKP identity pathway, and the first programmable on-chain group lending specification that explicitly addresses the social-collateral gap. These are publishable contributions.</w:t>
      </w:r>
    </w:p>
    <w:p>
      <w:pPr>
        <w:spacing w:after="120" w:before="80"/>
      </w:pPr>
      <w:r>
        <w:rPr>
          <w:sz w:val="22"/>
          <w:szCs w:val="22"/>
        </w:rPr>
        <w:t xml:space="preserve">However, the feasibility study — as presented — would not survive scrutiny from a well-prepared examiner or institutional reviewer. The revenue model is circular, the implementation timeline is not credible, the primary market (Bangladesh) faces prohibitive regulatory barriers, and several security claims apply to a 15-contract system of which only 3 contracts exist.</w:t>
      </w:r>
    </w:p>
    <w:p>
      <w:pPr>
        <w:spacing w:after="120" w:before="80"/>
      </w:pPr>
      <w:r>
        <w:rPr>
          <w:sz w:val="22"/>
          <w:szCs w:val="22"/>
        </w:rPr>
        <w:t xml:space="preserve">The improvements required are not architectural — the underlying architecture is sound. They are primarily about honest scoping: matching what is claimed to what is built, matching revenue projections to what adoption realistically looks like in year 1, and acknowledging the regulatory landscape in Bangladesh as a long-term target rather than a near-term opportunity.</w:t>
      </w:r>
    </w:p>
    <w:p>
      <w:pPr>
        <w:spacing w:after="120" w:before="80"/>
      </w:pPr>
      <w:r>
        <w:rPr>
          <w:sz w:val="22"/>
          <w:szCs w:val="22"/>
        </w:rPr>
        <w:t xml:space="preserve">A thesis that correctly scopes its claims, honestly models its risks, and delivers 6 well-tested, audited contracts with demonstrated performance metrics would be substantially stronger than the current version — even though it would look smaller on paper. Quality of demonstration beats breadth of specification for a research prototype.</w:t>
      </w:r>
    </w:p>
    <w:p>
      <w:pPr>
        <w:spacing w:after="60" w:before="60"/>
      </w:pPr>
      <w:r>
        <w:t xml:space="preserve"/>
      </w:r>
    </w:p>
    <w:p>
      <w:pPr>
        <w:pBdr>
          <w:top w:val="single" w:color="2E4057" w:sz="6" w:space="1"/>
        </w:pBdr>
        <w:spacing w:after="60" w:before="240"/>
      </w:pPr>
      <w:r>
        <w:rPr>
          <w:i/>
          <w:iCs/>
          <w:color w:val="555555"/>
          <w:sz w:val="20"/>
          <w:szCs w:val="20"/>
        </w:rPr>
        <w:t xml:space="preserve">End of Critical Feasibility Analysis</w:t>
      </w:r>
    </w:p>
    <w:p>
      <w:r>
        <w:rPr>
          <w:color w:val="888888"/>
          <w:sz w:val="18"/>
          <w:szCs w:val="18"/>
        </w:rPr>
        <w:t xml:space="preserve">Analysis conducted: May 28, 2026 | Document version: 1.0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A237E"/>
      <w:sz w:val="32"/>
      <w:szCs w:val="32"/>
    </w:rPr>
  </w:style>
  <w:style w:type="paragraph" w:styleId="Heading2">
    <w:name w:val="Heading 2"/>
    <w:basedOn w:val="Normal"/>
    <w:next w:val="Normal"/>
    <w:qFormat/>
    <w:pPr>
      <w:spacing w:after="100" w:before="280"/>
      <w:outlineLvl w:val="1"/>
    </w:pPr>
    <w:rPr>
      <w:rFonts w:ascii="Calibri" w:cs="Calibri" w:eastAsia="Calibri" w:hAnsi="Calibri"/>
      <w:b/>
      <w:bCs/>
      <w:color w:val="2E4057"/>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C6282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2026-05-28T01:22:15.543Z</dcterms:created>
  <dcterms:modified xsi:type="dcterms:W3CDTF">2026-05-28T01:22:15.558Z</dcterms:modified>
</cp:coreProperties>
</file>

<file path=docProps/custom.xml><?xml version="1.0" encoding="utf-8"?>
<Properties xmlns="http://schemas.openxmlformats.org/officeDocument/2006/custom-properties" xmlns:vt="http://schemas.openxmlformats.org/officeDocument/2006/docPropsVTypes"/>
</file>