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1a3c6e"/>
          <w:rtl w:val="0"/>
        </w:rPr>
        <w:t xml:space="preserve">CSE471 - System Analysis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1e40af"/>
          <w:rtl w:val="0"/>
        </w:rPr>
        <w:t xml:space="preserve">Crypto World Bank: System Analysis Diagrams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Course: CSE471 - System Analysis</w:t>
      </w:r>
    </w:p>
    <w:p w:rsidR="00000000" w:rsidDel="00000000" w:rsidP="00000000" w:rsidRDefault="00000000" w:rsidRPr="00000000" w14:paraId="00000004">
      <w:pPr>
        <w:spacing w:after="0" w:lineRule="auto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Project: Decentralized Crypto Reserve &amp; Lending Bank</w:t>
      </w:r>
    </w:p>
    <w:p w:rsidR="00000000" w:rsidDel="00000000" w:rsidP="00000000" w:rsidRDefault="00000000" w:rsidRPr="00000000" w14:paraId="00000005">
      <w:pPr>
        <w:spacing w:after="0" w:lineRule="auto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Date: 2024</w:t>
      </w:r>
    </w:p>
    <w:p w:rsidR="00000000" w:rsidDel="00000000" w:rsidP="00000000" w:rsidRDefault="00000000" w:rsidRPr="00000000" w14:paraId="00000006">
      <w:pPr>
        <w:spacing w:after="0" w:lineRule="auto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Authors: Md. Bokhtiar Rahman Juboraz (20301138) • Md. Mahir Ahnaf Ahmed (20301083)</w:t>
      </w:r>
    </w:p>
    <w:p w:rsidR="00000000" w:rsidDel="00000000" w:rsidP="00000000" w:rsidRDefault="00000000" w:rsidRPr="00000000" w14:paraId="00000007">
      <w:pPr>
        <w:pBdr>
          <w:bottom w:color="cccccc" w:space="1" w:sz="6" w:val="single"/>
        </w:pBdr>
        <w:spacing w:after="80" w:before="80" w:lineRule="auto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1e40af"/>
          <w:rtl w:val="0"/>
        </w:rPr>
        <w:t xml:space="preserve">Contents</w:t>
      </w:r>
      <w:r w:rsidDel="00000000" w:rsidR="00000000" w:rsidRPr="00000000">
        <w:rPr>
          <w:rtl w:val="0"/>
        </w:rPr>
      </w:r>
    </w:p>
    <w:tbl>
      <w:tblPr>
        <w:tblStyle w:val="Table1"/>
        <w:tblW w:w="7425.0" w:type="dxa"/>
        <w:jc w:val="center"/>
        <w:tblLayout w:type="fixed"/>
        <w:tblLook w:val="0400"/>
      </w:tblPr>
      <w:tblGrid>
        <w:gridCol w:w="1335"/>
        <w:gridCol w:w="6090"/>
        <w:tblGridChange w:id="0">
          <w:tblGrid>
            <w:gridCol w:w="1335"/>
            <w:gridCol w:w="60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09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1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0A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Project Overview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0B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2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0C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System Request and Business Value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0D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3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0E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Diagram Index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0F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4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10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Use Case Diagram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11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5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12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Activity Diagrams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13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6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14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Data Flow Diagrams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15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7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16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Sequence Diagrams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17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8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18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Structure Charts and Program Specifications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19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9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1A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Logical to Physical Data Models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1B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10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1C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User Interface Design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1D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11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1E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Project Timeline and Resource Allocation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1F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12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20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Diagram Summary</w:t>
            </w:r>
          </w:p>
        </w:tc>
      </w:tr>
    </w:tbl>
    <w:p w:rsidR="00000000" w:rsidDel="00000000" w:rsidP="00000000" w:rsidRDefault="00000000" w:rsidRPr="00000000" w14:paraId="00000021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cccccc" w:space="1" w:sz="6" w:val="single"/>
        </w:pBdr>
        <w:spacing w:after="80" w:before="80" w:lineRule="auto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1e40af"/>
          <w:rtl w:val="0"/>
        </w:rPr>
        <w:t xml:space="preserve">1. 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The Crypto World Bank is a decentralized lending platform with hierarchical banking (World Bank → National Banks → Local Banks → Users). This report presents the system analysis diagrams for the platform (Prethesis 1 scope).</w:t>
      </w:r>
    </w:p>
    <w:p w:rsidR="00000000" w:rsidDel="00000000" w:rsidP="00000000" w:rsidRDefault="00000000" w:rsidRPr="00000000" w14:paraId="00000025">
      <w:pPr>
        <w:pBdr>
          <w:bottom w:color="cccccc" w:space="1" w:sz="6" w:val="single"/>
        </w:pBdr>
        <w:spacing w:after="80" w:before="80" w:lineRule="auto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1e40af"/>
          <w:rtl w:val="0"/>
        </w:rPr>
        <w:t xml:space="preserve">2. System Request and Business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2.1 System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Project sponsor: BracU CSE (BCOLBD 2025 guideline).</w:t>
      </w:r>
    </w:p>
    <w:p w:rsidR="00000000" w:rsidDel="00000000" w:rsidP="00000000" w:rsidRDefault="00000000" w:rsidRPr="00000000" w14:paraId="00000029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Business need: Transparent, on-chain lending with AI/ML fraud detection; hierarchical banking structure for scalability.</w:t>
      </w:r>
    </w:p>
    <w:p w:rsidR="00000000" w:rsidDel="00000000" w:rsidP="00000000" w:rsidRDefault="00000000" w:rsidRPr="00000000" w14:paraId="0000002A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Expected benefits: Auditability, reduced fraud risk, financial inclusion via crypto-backed loans.</w:t>
      </w:r>
    </w:p>
    <w:p w:rsidR="00000000" w:rsidDel="00000000" w:rsidP="00000000" w:rsidRDefault="00000000" w:rsidRPr="00000000" w14:paraId="0000002B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2.2 Feasibility Study</w:t>
      </w:r>
      <w:r w:rsidDel="00000000" w:rsidR="00000000" w:rsidRPr="00000000">
        <w:rPr>
          <w:rtl w:val="0"/>
        </w:rPr>
      </w:r>
    </w:p>
    <w:tbl>
      <w:tblPr>
        <w:tblStyle w:val="Table2"/>
        <w:tblW w:w="9406.0" w:type="dxa"/>
        <w:jc w:val="center"/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2E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**Technical**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2F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Feasible — EVM/Solidity, React, PostgreSQL, ML (Random Forest, Isolation Forest) are mature.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30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**Economic**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31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Feasible — free testnets, Vercel/Render free tier, no real crypto required.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32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**Operational**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33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Feasible — 2-person team, 8-week timeline, supervisor oversight.</w:t>
            </w:r>
          </w:p>
        </w:tc>
      </w:tr>
    </w:tbl>
    <w:p w:rsidR="00000000" w:rsidDel="00000000" w:rsidP="00000000" w:rsidRDefault="00000000" w:rsidRPr="00000000" w14:paraId="00000034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Full feasibility analysis: </w:t>
      </w:r>
      <w:r w:rsidDel="00000000" w:rsidR="00000000" w:rsidRPr="00000000">
        <w:rPr>
          <w:rFonts w:ascii="IBM Plex Sans Condensed" w:cs="IBM Plex Sans Condensed" w:eastAsia="IBM Plex Sans Condensed" w:hAnsi="IBM Plex Sans Condensed"/>
          <w:color w:val="c0392b"/>
          <w:rtl w:val="0"/>
        </w:rPr>
        <w:t xml:space="preserve">WHITEPAPER_BCOLBD2025.md</w:t>
      </w: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 §VII.</w:t>
      </w:r>
    </w:p>
    <w:p w:rsidR="00000000" w:rsidDel="00000000" w:rsidP="00000000" w:rsidRDefault="00000000" w:rsidRPr="00000000" w14:paraId="00000036">
      <w:pPr>
        <w:pBdr>
          <w:bottom w:color="cccccc" w:space="1" w:sz="6" w:val="single"/>
        </w:pBdr>
        <w:spacing w:after="80" w:before="80" w:lineRule="auto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1e40af"/>
          <w:rtl w:val="0"/>
        </w:rPr>
        <w:t xml:space="preserve">3. Diagram Index (All Files in Documentation/Diagrams/CSE471/)</w:t>
      </w:r>
      <w:r w:rsidDel="00000000" w:rsidR="00000000" w:rsidRPr="00000000">
        <w:rPr>
          <w:rtl w:val="0"/>
        </w:rPr>
      </w:r>
    </w:p>
    <w:tbl>
      <w:tblPr>
        <w:tblStyle w:val="Table3"/>
        <w:tblW w:w="9406.0" w:type="dxa"/>
        <w:jc w:val="center"/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File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3A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Usecase diagram.png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3B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§4 Use Case Diagram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3C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Activity Diagram -  Loan Request to Repayment Flow.png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3D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§5.1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3E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Activity Diagram Hierarchical Banking Flow.png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3F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§5.2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40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Activity Diagram Income Verification Flow.png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41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§5.3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42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Activity Diagram Chat System Flow.png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43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§5.4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44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Activity Diagram AI Chatbot Interaction Flow.png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45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§5.5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46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activity diagram Market Data Viewing Flow.png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47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§5.6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48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Activity Diagram Profile Management Flow.png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49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§5.7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4A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Dataflow Diagram (Context Diagram Level - 0).png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4B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§6.1 Data Flow Context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4C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Data flow diagram (level - 1) .png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4D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§6.2 Data Flow Level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4E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dataflow diagram 2 (level -1).png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4F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§6.2 Data Flow Level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50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Sequence Diagram 1 Loan Request, AI Risk Check, and Approval Decision.png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51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§7.1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52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Sequence Diagram 1B  Reject Path — alt [Reject].png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53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§7.2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54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Sequence Diagram 2  Installment Payment Loop.png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55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§7.3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56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Sequence Diagram 3  Income Verification.png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57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§7.4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58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Sequence Diagram 4 Chat System.png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59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§7.5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5A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Sequence Diagram 5 AI Chatbot Interaction.png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5B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§7.6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5C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Sequence Diagram 6 Hierarchical Banking (World Bank → National Bank → Local Bank → Borrower).png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5D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§7.7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5E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Sequence Diagram 7 Market Data Retrieval.png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5F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§7.8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60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Sequence Diagram 8 Borrowing Limit Calculation.png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61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§7.9</w:t>
            </w:r>
          </w:p>
        </w:tc>
      </w:tr>
    </w:tbl>
    <w:p w:rsidR="00000000" w:rsidDel="00000000" w:rsidP="00000000" w:rsidRDefault="00000000" w:rsidRPr="00000000" w14:paraId="00000062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bottom w:color="cccccc" w:space="1" w:sz="6" w:val="single"/>
        </w:pBdr>
        <w:spacing w:after="80" w:before="80" w:lineRule="auto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1e40af"/>
          <w:rtl w:val="0"/>
        </w:rPr>
        <w:t xml:space="preserve">4. Use Case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</w:rPr>
        <w:drawing>
          <wp:inline distB="0" distT="0" distL="114300" distR="114300">
            <wp:extent cx="2077938" cy="7315199"/>
            <wp:effectExtent b="0" l="0" r="0" t="0"/>
            <wp:docPr id="2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7938" cy="7315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Description: Shows actors (Borrower, Bank User, World Bank, National Bank, Local Bank) and their interactions with the system.</w:t>
      </w:r>
    </w:p>
    <w:p w:rsidR="00000000" w:rsidDel="00000000" w:rsidP="00000000" w:rsidRDefault="00000000" w:rsidRPr="00000000" w14:paraId="00000067">
      <w:pPr>
        <w:pBdr>
          <w:bottom w:color="cccccc" w:space="1" w:sz="6" w:val="single"/>
        </w:pBdr>
        <w:spacing w:after="80" w:before="80" w:lineRule="auto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1e40af"/>
          <w:rtl w:val="0"/>
        </w:rPr>
        <w:t xml:space="preserve">5. Activity Diagrams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5.1 Loan Request to Repayment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</w:rPr>
        <w:drawing>
          <wp:inline distB="0" distT="0" distL="114300" distR="114300">
            <wp:extent cx="1755576" cy="7315198"/>
            <wp:effectExtent b="0" l="0" r="0" t="0"/>
            <wp:docPr id="2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5576" cy="7315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Description: End-to-end flow from loan request through approval to repayment.</w:t>
      </w:r>
    </w:p>
    <w:p w:rsidR="00000000" w:rsidDel="00000000" w:rsidP="00000000" w:rsidRDefault="00000000" w:rsidRPr="00000000" w14:paraId="0000006C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5.2 Hierarchical Banking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</w:rPr>
        <w:drawing>
          <wp:inline distB="0" distT="0" distL="114300" distR="114300">
            <wp:extent cx="3187394" cy="7315199"/>
            <wp:effectExtent b="0" l="0" r="0" t="0"/>
            <wp:docPr id="2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7394" cy="7315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Description: Flow of funds and operations across World Bank, National Bank, and Local Bank.</w:t>
      </w:r>
    </w:p>
    <w:p w:rsidR="00000000" w:rsidDel="00000000" w:rsidP="00000000" w:rsidRDefault="00000000" w:rsidRPr="00000000" w14:paraId="0000006F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5.3 Income Verification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</w:rPr>
        <w:drawing>
          <wp:inline distB="0" distT="0" distL="114300" distR="114300">
            <wp:extent cx="3359758" cy="7315199"/>
            <wp:effectExtent b="0" l="0" r="0" t="0"/>
            <wp:docPr id="2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9758" cy="7315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Description: First-time borrower income proof upload and bank review process.</w:t>
      </w:r>
    </w:p>
    <w:p w:rsidR="00000000" w:rsidDel="00000000" w:rsidP="00000000" w:rsidRDefault="00000000" w:rsidRPr="00000000" w14:paraId="00000072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5.4 Chat System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</w:rPr>
        <w:drawing>
          <wp:inline distB="0" distT="0" distL="114300" distR="114300">
            <wp:extent cx="1532334" cy="7315198"/>
            <wp:effectExtent b="0" l="0" r="0" t="0"/>
            <wp:docPr id="2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2334" cy="7315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Description: Borrower–bank messaging flow within a loan context.</w:t>
      </w:r>
    </w:p>
    <w:p w:rsidR="00000000" w:rsidDel="00000000" w:rsidP="00000000" w:rsidRDefault="00000000" w:rsidRPr="00000000" w14:paraId="00000075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5.5 AI Chatbot Interaction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</w:rPr>
        <w:drawing>
          <wp:inline distB="0" distT="0" distL="114300" distR="114300">
            <wp:extent cx="4232671" cy="7315199"/>
            <wp:effectExtent b="0" l="0" r="0" t="0"/>
            <wp:docPr id="2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2671" cy="7315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Description: User interaction with the AI chatbot for queries and support.</w:t>
      </w:r>
    </w:p>
    <w:p w:rsidR="00000000" w:rsidDel="00000000" w:rsidP="00000000" w:rsidRDefault="00000000" w:rsidRPr="00000000" w14:paraId="00000078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5.6 Market Data Viewing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</w:rPr>
        <w:drawing>
          <wp:inline distB="0" distT="0" distL="114300" distR="114300">
            <wp:extent cx="2031503" cy="7315197"/>
            <wp:effectExtent b="0" l="0" r="0" t="0"/>
            <wp:docPr id="2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1503" cy="73151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Description: Flow for viewing cryptocurrency market data and prices.</w:t>
      </w:r>
    </w:p>
    <w:p w:rsidR="00000000" w:rsidDel="00000000" w:rsidP="00000000" w:rsidRDefault="00000000" w:rsidRPr="00000000" w14:paraId="0000007B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5.7 Profile Management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</w:rPr>
        <w:drawing>
          <wp:inline distB="0" distT="0" distL="114300" distR="114300">
            <wp:extent cx="4980979" cy="7315199"/>
            <wp:effectExtent b="0" l="0" r="0" t="0"/>
            <wp:docPr id="2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0979" cy="7315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Description: User profile setup, terms acceptance, and preferences.</w:t>
      </w:r>
    </w:p>
    <w:p w:rsidR="00000000" w:rsidDel="00000000" w:rsidP="00000000" w:rsidRDefault="00000000" w:rsidRPr="00000000" w14:paraId="0000007E">
      <w:pPr>
        <w:pBdr>
          <w:bottom w:color="cccccc" w:space="1" w:sz="6" w:val="single"/>
        </w:pBdr>
        <w:spacing w:after="80" w:before="80" w:lineRule="auto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1e40af"/>
          <w:rtl w:val="0"/>
        </w:rPr>
        <w:t xml:space="preserve">6. Data Flow Diagrams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6.1 Context Diagram (Level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</w:rPr>
        <w:drawing>
          <wp:inline distB="0" distT="0" distL="114300" distR="114300">
            <wp:extent cx="5486400" cy="2382253"/>
            <wp:effectExtent b="0" l="0" r="0" t="0"/>
            <wp:docPr id="2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2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Description: High-level view of data flows between external entities and the system.</w:t>
      </w:r>
    </w:p>
    <w:p w:rsidR="00000000" w:rsidDel="00000000" w:rsidP="00000000" w:rsidRDefault="00000000" w:rsidRPr="00000000" w14:paraId="00000083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6.2 Data Flow Diagram Level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center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</w:rPr>
        <w:drawing>
          <wp:inline distB="0" distT="0" distL="114300" distR="114300">
            <wp:extent cx="5486400" cy="2024418"/>
            <wp:effectExtent b="0" l="0" r="0" t="0"/>
            <wp:docPr id="3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44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center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</w:rPr>
        <w:drawing>
          <wp:inline distB="0" distT="0" distL="114300" distR="114300">
            <wp:extent cx="5486400" cy="2024418"/>
            <wp:effectExtent b="0" l="0" r="0" t="0"/>
            <wp:docPr id="3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44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Description: Decomposed view of internal processes and data flows.</w:t>
      </w:r>
    </w:p>
    <w:p w:rsidR="00000000" w:rsidDel="00000000" w:rsidP="00000000" w:rsidRDefault="00000000" w:rsidRPr="00000000" w14:paraId="00000087">
      <w:pPr>
        <w:pBdr>
          <w:bottom w:color="cccccc" w:space="1" w:sz="6" w:val="single"/>
        </w:pBdr>
        <w:spacing w:after="80" w:before="80" w:lineRule="auto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1e40af"/>
          <w:rtl w:val="0"/>
        </w:rPr>
        <w:t xml:space="preserve">7. Sequence Diagrams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7.1 Loan Request, AI Risk Check, and 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</w:rPr>
        <w:drawing>
          <wp:inline distB="0" distT="0" distL="114300" distR="114300">
            <wp:extent cx="5486400" cy="4745592"/>
            <wp:effectExtent b="0" l="0" r="0" t="0"/>
            <wp:docPr id="3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45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Description: Borrower submits loan request; system performs AI risk check; bank user approves or rejects.</w:t>
      </w:r>
    </w:p>
    <w:p w:rsidR="00000000" w:rsidDel="00000000" w:rsidP="00000000" w:rsidRDefault="00000000" w:rsidRPr="00000000" w14:paraId="0000008C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7.2 Reject Path (Alternative)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center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</w:rPr>
        <w:drawing>
          <wp:inline distB="0" distT="0" distL="114300" distR="114300">
            <wp:extent cx="5486400" cy="4745592"/>
            <wp:effectExtent b="0" l="0" r="0" t="0"/>
            <wp:docPr id="3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45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Description: Alternative flow when bank user rejects a loan request.</w:t>
      </w:r>
    </w:p>
    <w:p w:rsidR="00000000" w:rsidDel="00000000" w:rsidP="00000000" w:rsidRDefault="00000000" w:rsidRPr="00000000" w14:paraId="0000008F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7.3 Installment Payment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center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</w:rPr>
        <w:drawing>
          <wp:inline distB="0" distT="0" distL="114300" distR="114300">
            <wp:extent cx="5486400" cy="3303091"/>
            <wp:effectExtent b="0" l="0" r="0" t="0"/>
            <wp:docPr id="3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30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Description: Borrower pays installments; system updates loan status until completion.</w:t>
      </w:r>
    </w:p>
    <w:p w:rsidR="00000000" w:rsidDel="00000000" w:rsidP="00000000" w:rsidRDefault="00000000" w:rsidRPr="00000000" w14:paraId="00000092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7.4 Income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</w:rPr>
        <w:drawing>
          <wp:inline distB="0" distT="0" distL="114300" distR="114300">
            <wp:extent cx="5486400" cy="4177085"/>
            <wp:effectExtent b="0" l="0" r="0" t="0"/>
            <wp:docPr id="3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77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Description: Borrower uploads income proof; bank user reviews and approves/rejects.</w:t>
      </w:r>
    </w:p>
    <w:p w:rsidR="00000000" w:rsidDel="00000000" w:rsidP="00000000" w:rsidRDefault="00000000" w:rsidRPr="00000000" w14:paraId="00000095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7.5 Chat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center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</w:rPr>
        <w:drawing>
          <wp:inline distB="0" distT="0" distL="114300" distR="114300">
            <wp:extent cx="5486400" cy="3298806"/>
            <wp:effectExtent b="0" l="0" r="0" t="0"/>
            <wp:docPr id="3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88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Description: Message exchange between borrower and bank within a loan context.</w:t>
      </w:r>
    </w:p>
    <w:p w:rsidR="00000000" w:rsidDel="00000000" w:rsidP="00000000" w:rsidRDefault="00000000" w:rsidRPr="00000000" w14:paraId="00000098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7.6 AI Chatbot Interaction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center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</w:rPr>
        <w:drawing>
          <wp:inline distB="0" distT="0" distL="114300" distR="114300">
            <wp:extent cx="5486400" cy="4653930"/>
            <wp:effectExtent b="0" l="0" r="0" t="0"/>
            <wp:docPr id="3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53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Description: User asks question; AI chatbot processes and responds.</w:t>
      </w:r>
    </w:p>
    <w:p w:rsidR="00000000" w:rsidDel="00000000" w:rsidP="00000000" w:rsidRDefault="00000000" w:rsidRPr="00000000" w14:paraId="0000009B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7.7 Hierarchical Banking (WB → NB → LB → Borrower)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center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</w:rPr>
        <w:drawing>
          <wp:inline distB="0" distT="0" distL="114300" distR="114300">
            <wp:extent cx="5486400" cy="3053283"/>
            <wp:effectExtent b="0" l="0" r="0" t="0"/>
            <wp:docPr id="3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32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Description: Fund flow and interactions across the banking hierarchy.</w:t>
      </w:r>
    </w:p>
    <w:p w:rsidR="00000000" w:rsidDel="00000000" w:rsidP="00000000" w:rsidRDefault="00000000" w:rsidRPr="00000000" w14:paraId="0000009E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7.8 Market Data Retrieval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center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</w:rPr>
        <w:drawing>
          <wp:inline distB="0" distT="0" distL="114300" distR="114300">
            <wp:extent cx="5486400" cy="3961433"/>
            <wp:effectExtent b="0" l="0" r="0" t="0"/>
            <wp:docPr id="3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1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Description: System fetches and displays cryptocurrency market data.</w:t>
      </w:r>
    </w:p>
    <w:p w:rsidR="00000000" w:rsidDel="00000000" w:rsidP="00000000" w:rsidRDefault="00000000" w:rsidRPr="00000000" w14:paraId="000000A1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7.9 Borrowing Limit Calculation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center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</w:rPr>
        <w:drawing>
          <wp:inline distB="0" distT="0" distL="114300" distR="114300">
            <wp:extent cx="5486400" cy="4411266"/>
            <wp:effectExtent b="0" l="0" r="0" t="0"/>
            <wp:docPr id="4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112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Description: System calculates borrower's 6-month and 1-year borrowing limits.</w:t>
      </w:r>
    </w:p>
    <w:p w:rsidR="00000000" w:rsidDel="00000000" w:rsidP="00000000" w:rsidRDefault="00000000" w:rsidRPr="00000000" w14:paraId="000000A4">
      <w:pPr>
        <w:pBdr>
          <w:bottom w:color="cccccc" w:space="1" w:sz="6" w:val="single"/>
        </w:pBdr>
        <w:spacing w:after="80" w:before="80" w:lineRule="auto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1e40af"/>
          <w:rtl w:val="0"/>
        </w:rPr>
        <w:t xml:space="preserve">8. Structure Charts and Program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8.1 Structure Chart (Logical → Physical Process)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before="120" w:lineRule="auto"/>
        <w:ind w:left="567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1e293b"/>
          <w:rtl w:val="0"/>
        </w:rPr>
        <w:t xml:space="preserve">Crypto World Bank System</w:t>
        <w:br w:type="textWrapping"/>
        <w:t xml:space="preserve">├── Loan Management Module</w:t>
        <w:br w:type="textWrapping"/>
        <w:t xml:space="preserve">│   ├── Request Loan (form validation → contract call → DB update)</w:t>
        <w:br w:type="textWrapping"/>
        <w:t xml:space="preserve">│   ├── Approve/Reject Loan (permission check → sign tx → event listener)</w:t>
        <w:br w:type="textWrapping"/>
        <w:t xml:space="preserve">│   └── Pay Installment (schedule fetch → contract call → status update)</w:t>
        <w:br w:type="textWrapping"/>
        <w:t xml:space="preserve">├── User Management Module</w:t>
        <w:br w:type="textWrapping"/>
        <w:t xml:space="preserve">│   ├── Connect Wallet (provider → address → role lookup)</w:t>
        <w:br w:type="textWrapping"/>
        <w:t xml:space="preserve">│   ├── Profile (fetch/update settings, terms acceptance)</w:t>
        <w:br w:type="textWrapping"/>
        <w:t xml:space="preserve">│   └── Income Verification (upload → hash → store → notify bank)</w:t>
        <w:br w:type="textWrapping"/>
        <w:t xml:space="preserve">├── Communication Module</w:t>
        <w:br w:type="textWrapping"/>
        <w:t xml:space="preserve">│   ├── Chat (send/receive messages, read status)</w:t>
        <w:br w:type="textWrapping"/>
        <w:t xml:space="preserve">│   └── AI Chatbot (NLP → intent → response)</w:t>
        <w:br w:type="textWrapping"/>
        <w:t xml:space="preserve">└── Admin Module</w:t>
        <w:br w:type="textWrapping"/>
        <w:t xml:space="preserve">    ├── Risk Dashboard (fetch logs, display scores)</w:t>
        <w:br w:type="textWrapping"/>
        <w:t xml:space="preserve">    └── Market Data (API fetch → cache → chart)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8.2 Program Specifications (Sample)</w:t>
      </w:r>
      <w:r w:rsidDel="00000000" w:rsidR="00000000" w:rsidRPr="00000000">
        <w:rPr>
          <w:rtl w:val="0"/>
        </w:rPr>
      </w:r>
    </w:p>
    <w:tbl>
      <w:tblPr>
        <w:tblStyle w:val="Table4"/>
        <w:tblW w:w="9404.0" w:type="dxa"/>
        <w:jc w:val="center"/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AD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Request Loan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AE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amount, purpose, wallet, bank_id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AF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Validate limit, call contract, store tx_hash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B0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loan_id, 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B1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Borrowing Limit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B2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borrower_id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B3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Sum transactions in 6mo/1yr windows, apply rules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B4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six_month_remaining, one_year_remaining</w:t>
            </w:r>
          </w:p>
        </w:tc>
      </w:tr>
    </w:tbl>
    <w:p w:rsidR="00000000" w:rsidDel="00000000" w:rsidP="00000000" w:rsidRDefault="00000000" w:rsidRPr="00000000" w14:paraId="000000B5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bottom w:color="cccccc" w:space="1" w:sz="6" w:val="single"/>
        </w:pBdr>
        <w:spacing w:after="80" w:before="80" w:lineRule="auto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1e40af"/>
          <w:rtl w:val="0"/>
        </w:rPr>
        <w:t xml:space="preserve">9. Logical to Physical Data Models</w:t>
      </w:r>
      <w:r w:rsidDel="00000000" w:rsidR="00000000" w:rsidRPr="00000000">
        <w:rPr>
          <w:rtl w:val="0"/>
        </w:rPr>
      </w:r>
    </w:p>
    <w:tbl>
      <w:tblPr>
        <w:tblStyle w:val="Table5"/>
        <w:tblW w:w="9406.0" w:type="dxa"/>
        <w:jc w:val="center"/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Logical (ER)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Physical (Implementation)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BA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Entity BORROWER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BB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Table `BORROWER` (PostgreSQL); wallet_address indexed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BC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Relationship BORROWER → LOAN_REQUEST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BD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FK `borrower_id` in `LOAN_REQUEST`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BE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Attribute blockchain_tx_hash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BF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VARCHAR(66), UNIQUE, for explorer links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C0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Polymorphic CHAT (sender/receiver)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C1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`sender_type` + `sender_id` (borrower vs bank_user)</w:t>
            </w:r>
          </w:p>
        </w:tc>
      </w:tr>
    </w:tbl>
    <w:p w:rsidR="00000000" w:rsidDel="00000000" w:rsidP="00000000" w:rsidRDefault="00000000" w:rsidRPr="00000000" w14:paraId="000000C2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Data storage formats: PostgreSQL (relational); blockchain (immutable ledger); file storage for INCOME_PROOF (path + hash in DB). Indexes on frequently queried columns (status, date, wallet).</w:t>
      </w:r>
    </w:p>
    <w:p w:rsidR="00000000" w:rsidDel="00000000" w:rsidP="00000000" w:rsidRDefault="00000000" w:rsidRPr="00000000" w14:paraId="000000C4">
      <w:pPr>
        <w:pBdr>
          <w:bottom w:color="cccccc" w:space="1" w:sz="6" w:val="single"/>
        </w:pBdr>
        <w:spacing w:after="80" w:before="80" w:lineRule="auto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1e40af"/>
          <w:rtl w:val="0"/>
        </w:rPr>
        <w:t xml:space="preserve">10. User Interface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10.1 Navigation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AppBar: Logo, role-based menu (Dashboard, Loans, Deposit, Chat, Profile, Risk Dashboard for bank users).</w:t>
      </w:r>
    </w:p>
    <w:p w:rsidR="00000000" w:rsidDel="00000000" w:rsidP="00000000" w:rsidRDefault="00000000" w:rsidRPr="00000000" w14:paraId="000000C8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Routes: `/`, `/loan`, `/deposit`, `/chat`, `/profile`, `/risk-dashboard`, `/market`.</w:t>
      </w:r>
    </w:p>
    <w:p w:rsidR="00000000" w:rsidDel="00000000" w:rsidP="00000000" w:rsidRDefault="00000000" w:rsidRPr="00000000" w14:paraId="000000C9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Breadcrumbs: Context within loan/chat flows.</w:t>
      </w:r>
    </w:p>
    <w:p w:rsidR="00000000" w:rsidDel="00000000" w:rsidP="00000000" w:rsidRDefault="00000000" w:rsidRPr="00000000" w14:paraId="000000CA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10.2 Input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Loan request: Amount (number), purpose (text), bank selection (dropdown).</w:t>
      </w:r>
    </w:p>
    <w:p w:rsidR="00000000" w:rsidDel="00000000" w:rsidP="00000000" w:rsidRDefault="00000000" w:rsidRPr="00000000" w14:paraId="000000CC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Wallet: MetaMask/WalletConnect connect button; address display (truncated).</w:t>
      </w:r>
    </w:p>
    <w:p w:rsidR="00000000" w:rsidDel="00000000" w:rsidP="00000000" w:rsidRDefault="00000000" w:rsidRPr="00000000" w14:paraId="000000CD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Chat: Text input, send button; file upload for income proof (PDF, image).</w:t>
      </w:r>
    </w:p>
    <w:p w:rsidR="00000000" w:rsidDel="00000000" w:rsidP="00000000" w:rsidRDefault="00000000" w:rsidRPr="00000000" w14:paraId="000000CE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10.3 Output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Dashboard: Cards for active loans, borrowing limit, pending requests.</w:t>
      </w:r>
    </w:p>
    <w:p w:rsidR="00000000" w:rsidDel="00000000" w:rsidP="00000000" w:rsidRDefault="00000000" w:rsidRPr="00000000" w14:paraId="000000D0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Loan list: Table with status, amount, deadline, pay button.</w:t>
      </w:r>
    </w:p>
    <w:p w:rsidR="00000000" w:rsidDel="00000000" w:rsidP="00000000" w:rsidRDefault="00000000" w:rsidRPr="00000000" w14:paraId="000000D1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Risk dashboard: Table of flagged loans, risk scores, SHAP explanations.</w:t>
      </w:r>
    </w:p>
    <w:p w:rsidR="00000000" w:rsidDel="00000000" w:rsidP="00000000" w:rsidRDefault="00000000" w:rsidRPr="00000000" w14:paraId="000000D2">
      <w:pPr>
        <w:pBdr>
          <w:bottom w:color="cccccc" w:space="1" w:sz="6" w:val="single"/>
        </w:pBdr>
        <w:spacing w:after="80" w:before="80" w:lineRule="auto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1e40af"/>
          <w:rtl w:val="0"/>
        </w:rPr>
        <w:t xml:space="preserve">11. Project Timeline and Resource Allocation</w:t>
      </w:r>
      <w:r w:rsidDel="00000000" w:rsidR="00000000" w:rsidRPr="00000000">
        <w:rPr>
          <w:rtl w:val="0"/>
        </w:rPr>
      </w:r>
    </w:p>
    <w:tbl>
      <w:tblPr>
        <w:tblStyle w:val="Table6"/>
        <w:tblW w:w="9405.0" w:type="dxa"/>
        <w:jc w:val="center"/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Resources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D7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1–3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D8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Foundation (contracts, UI, DB)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D9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2 developers, Sprint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DA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4–6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DB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Lending, Chat, Profiles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DC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2 developers, Sprint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DD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7–8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DE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AI/ML, Testing, Deployment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DF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2 developers, Sprint 3</w:t>
            </w:r>
          </w:p>
        </w:tc>
      </w:tr>
    </w:tbl>
    <w:p w:rsidR="00000000" w:rsidDel="00000000" w:rsidP="00000000" w:rsidRDefault="00000000" w:rsidRPr="00000000" w14:paraId="000000E0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Aligns with CSE471 Lab: Module 1–4 (5 features each) over Weeks 4–8. See </w:t>
      </w:r>
      <w:r w:rsidDel="00000000" w:rsidR="00000000" w:rsidRPr="00000000">
        <w:rPr>
          <w:rFonts w:ascii="IBM Plex Sans Condensed" w:cs="IBM Plex Sans Condensed" w:eastAsia="IBM Plex Sans Condensed" w:hAnsi="IBM Plex Sans Condensed"/>
          <w:color w:val="c0392b"/>
          <w:rtl w:val="0"/>
        </w:rPr>
        <w:t xml:space="preserve">CSE470_SOFTWARE_ENGINEERING REPORT.md</w:t>
      </w: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 for detailed sprint backlog.</w:t>
      </w:r>
    </w:p>
    <w:p w:rsidR="00000000" w:rsidDel="00000000" w:rsidP="00000000" w:rsidRDefault="00000000" w:rsidRPr="00000000" w14:paraId="000000E2">
      <w:pPr>
        <w:pBdr>
          <w:bottom w:color="cccccc" w:space="1" w:sz="6" w:val="single"/>
        </w:pBdr>
        <w:spacing w:after="80" w:before="80" w:lineRule="auto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1e40af"/>
          <w:rtl w:val="0"/>
        </w:rPr>
        <w:t xml:space="preserve">12. Diagram Summary</w:t>
      </w:r>
      <w:r w:rsidDel="00000000" w:rsidR="00000000" w:rsidRPr="00000000">
        <w:rPr>
          <w:rtl w:val="0"/>
        </w:rPr>
      </w:r>
    </w:p>
    <w:tbl>
      <w:tblPr>
        <w:tblStyle w:val="Table7"/>
        <w:tblW w:w="9405.0" w:type="dxa"/>
        <w:jc w:val="center"/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E7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Use Case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E8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1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E9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Actor–system interactions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EA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Data Flow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EB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3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EC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Data movement (context + level 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ED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Activity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EE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7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EF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Process flows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F0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Sequence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F1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9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F2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Message/event ordering</w:t>
            </w:r>
          </w:p>
        </w:tc>
      </w:tr>
    </w:tbl>
    <w:p w:rsidR="00000000" w:rsidDel="00000000" w:rsidP="00000000" w:rsidRDefault="00000000" w:rsidRPr="00000000" w14:paraId="000000F3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bottom w:color="cccccc" w:space="1" w:sz="6" w:val="single"/>
        </w:pBdr>
        <w:spacing w:after="80" w:before="80" w:lineRule="auto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Document Version: 1.1</w:t>
      </w:r>
    </w:p>
    <w:p w:rsidR="00000000" w:rsidDel="00000000" w:rsidP="00000000" w:rsidRDefault="00000000" w:rsidRPr="00000000" w14:paraId="000000F6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Course: CSE471 - System Analysis</w:t>
      </w:r>
    </w:p>
    <w:sectPr>
      <w:pgSz w:h="15840" w:w="12240" w:orient="portrait"/>
      <w:pgMar w:bottom="1134" w:top="1134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IBM Plex Sans Condense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3.png"/><Relationship Id="rId22" Type="http://schemas.openxmlformats.org/officeDocument/2006/relationships/image" Target="media/image9.png"/><Relationship Id="rId10" Type="http://schemas.openxmlformats.org/officeDocument/2006/relationships/image" Target="media/image4.png"/><Relationship Id="rId21" Type="http://schemas.openxmlformats.org/officeDocument/2006/relationships/image" Target="media/image17.png"/><Relationship Id="rId13" Type="http://schemas.openxmlformats.org/officeDocument/2006/relationships/image" Target="media/image10.png"/><Relationship Id="rId24" Type="http://schemas.openxmlformats.org/officeDocument/2006/relationships/image" Target="media/image18.png"/><Relationship Id="rId12" Type="http://schemas.openxmlformats.org/officeDocument/2006/relationships/image" Target="media/image7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2.png"/><Relationship Id="rId14" Type="http://schemas.openxmlformats.org/officeDocument/2006/relationships/image" Target="media/image12.png"/><Relationship Id="rId17" Type="http://schemas.openxmlformats.org/officeDocument/2006/relationships/image" Target="media/image16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customXml" Target="../customXML/item1.xml"/><Relationship Id="rId18" Type="http://schemas.openxmlformats.org/officeDocument/2006/relationships/image" Target="media/image15.png"/><Relationship Id="rId7" Type="http://schemas.openxmlformats.org/officeDocument/2006/relationships/image" Target="media/image8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Condensed-regular.ttf"/><Relationship Id="rId2" Type="http://schemas.openxmlformats.org/officeDocument/2006/relationships/font" Target="fonts/IBMPlexSansCondensed-bold.ttf"/><Relationship Id="rId3" Type="http://schemas.openxmlformats.org/officeDocument/2006/relationships/font" Target="fonts/IBMPlexSansCondensed-italic.ttf"/><Relationship Id="rId4" Type="http://schemas.openxmlformats.org/officeDocument/2006/relationships/font" Target="fonts/IBMPlexSansCondense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jR/3xCzPD6ExMzVUlFGSXec76A==">CgMxLjA4AHIhMTJWUlBKaTRWdVUxbGR6NEhUMUxWdTZaVjM1ZzJqU0Fp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