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color w:val="64748B"/>
          <w:sz w:val="18"/>
        </w:rPr>
        <w:t>Md. Bokhtiar Rahman Juboraz (20301138)  |  Md. Mahir Ahnaf Ahmed (20301083)</w:t>
        <w:br/>
      </w:r>
      <w:r>
        <w:rPr>
          <w:color w:val="64748B"/>
          <w:sz w:val="18"/>
        </w:rPr>
        <w:t>Department of Computer Science and Engineering, Brac University</w:t>
        <w:br/>
      </w:r>
    </w:p>
    <w:p>
      <w:pPr>
        <w:spacing w:after="120"/>
        <w:jc w:val="center"/>
      </w:pPr>
      <w:r>
        <w:rPr>
          <w:b/>
          <w:color w:val="1A3C6E"/>
          <w:sz w:val="36"/>
        </w:rPr>
        <w:t>Literature Review: Paper 1</w:t>
      </w:r>
    </w:p>
    <w:p>
      <w:pPr>
        <w:spacing w:before="80"/>
      </w:pPr>
      <w:r>
        <w:rPr>
          <w:b/>
          <w:sz w:val="22"/>
        </w:rPr>
        <w:t xml:space="preserve">Paper Title: </w:t>
      </w:r>
      <w:r>
        <w:rPr>
          <w:sz w:val="22"/>
        </w:rPr>
        <w:t>Thinking Fast and Slow: Data-Driven Adaptive DeFi Borrow-Lending Protocol</w:t>
      </w:r>
    </w:p>
    <w:p>
      <w:pPr>
        <w:spacing w:before="80"/>
      </w:pPr>
      <w:r>
        <w:rPr>
          <w:b/>
          <w:sz w:val="22"/>
        </w:rPr>
        <w:t xml:space="preserve">Paper Link: </w:t>
      </w:r>
      <w:r>
        <w:rPr>
          <w:sz w:val="22"/>
        </w:rPr>
        <w:t>https://arxiv.org/html/2407.10890v1</w:t>
      </w:r>
    </w:p>
    <w:p>
      <w:pPr>
        <w:spacing w:before="80"/>
      </w:pPr>
      <w:r>
        <w:rPr>
          <w:b/>
          <w:sz w:val="22"/>
        </w:rPr>
        <w:t xml:space="preserve">Authors: </w:t>
      </w:r>
      <w:r>
        <w:rPr>
          <w:sz w:val="22"/>
        </w:rPr>
        <w:t>Mahsa Bastankhah, Viraj Nadkarni, Xuechao Wang, Chi Jin, Sanjeev Kulkarni, Pramod Viswanath</w:t>
      </w:r>
    </w:p>
    <w:p>
      <w:pPr>
        <w:spacing w:before="80"/>
      </w:pPr>
      <w:r>
        <w:rPr>
          <w:b/>
          <w:sz w:val="22"/>
        </w:rPr>
        <w:t xml:space="preserve">Affiliation: </w:t>
      </w:r>
      <w:r>
        <w:rPr>
          <w:sz w:val="22"/>
        </w:rPr>
        <w:t>Princeton University, Princeton, NJ, USA; Hong Kong University of Science and Technology (Guangzhou), China</w:t>
      </w:r>
    </w:p>
    <w:p>
      <w:pPr>
        <w:spacing w:before="80"/>
      </w:pPr>
      <w:r>
        <w:rPr>
          <w:b/>
          <w:sz w:val="22"/>
        </w:rPr>
        <w:t xml:space="preserve">Contact Email: </w:t>
      </w:r>
      <w:r>
        <w:rPr>
          <w:sz w:val="22"/>
        </w:rPr>
        <w:t>mhs.bastankhah@princeton.edu</w:t>
      </w:r>
    </w:p>
    <w:p>
      <w:pPr>
        <w:spacing w:before="280"/>
      </w:pPr>
      <w:r>
        <w:rPr>
          <w:b/>
          <w:color w:val="1A3C6E"/>
          <w:sz w:val="24"/>
        </w:rPr>
        <w:t>Abstract:</w:t>
      </w:r>
    </w:p>
    <w:p>
      <w:pPr>
        <w:spacing w:before="40" w:after="80"/>
        <w:ind w:firstLine="709"/>
      </w:pPr>
      <w:r>
        <w:rPr>
          <w:sz w:val="22"/>
        </w:rPr>
        <w:t>Decentralized finance (DeFi) borrowing and lending platforms are crucial to the decentralized economy, involving two main participants: lenders who provide assets for interest and borrowers who offer collateral exceeding their debt and pay interest. Collateral volatility necessitates over-collateralization to protect lenders and ensure competitive returns. Traditional DeFi platforms use a fixed interest rate curve based on the utilization rate (the fraction of available assets borrowed) and determine over-collateralization offline through simulations to manage risk. This method does not adapt well to dynamic market changes, such as price fluctuations and evolving user needs, often resulting in losses for lenders or borrowers. The paper introduces an adaptive, data-driven protocol that includes a high-frequency controller for dynamic interest rate adjustment and a low-frequency planner that sets the optimal over-collateralization ratio by analyzing user behavior, with theoretical guarantees on convergence and adversarial robustness.</w:t>
      </w:r>
    </w:p>
    <w:p>
      <w:pPr>
        <w:spacing w:before="280"/>
      </w:pPr>
      <w:r>
        <w:rPr>
          <w:b/>
          <w:color w:val="1A3C6E"/>
          <w:sz w:val="24"/>
        </w:rPr>
        <w:t>Introduction:</w:t>
      </w:r>
    </w:p>
    <w:p>
      <w:pPr>
        <w:spacing w:before="40" w:after="80"/>
        <w:ind w:firstLine="709"/>
      </w:pPr>
      <w:r>
        <w:rPr>
          <w:sz w:val="22"/>
        </w:rPr>
        <w:t>Decentralized Finance has revolutionized lending and borrowing by eliminating centralized intermediaries. The main paradigm shift involves moving away from opaque financial entities such as banks, that use proprietary models and data to match deposits with borrowers, to transparent pools with published algorithms to change interest rates and borrowing conditions. Major DeFi lending platforms like Aave and Compound function through liquidity pools, where lenders provide capital that borrowers can access. These protocols ensure that borrowers pledge enough collateral to cover their debt, along with an additional safety buffer. The simplest variable of interest that any lending protocol seeks to control is the supply-demand ratio of the pool, referred to as "utilization." The objective is to maintain a stable utilization around a designated "optimal utilization" threshold—when utilization is low, interest rates remain low to encourage borrowing; as utilization increases, interest rates rise to balance demand with supply.</w:t>
      </w:r>
    </w:p>
    <w:p>
      <w:pPr>
        <w:spacing w:before="280"/>
      </w:pPr>
      <w:r>
        <w:rPr>
          <w:b/>
          <w:color w:val="1A3C6E"/>
          <w:sz w:val="24"/>
        </w:rPr>
        <w:t>Motivation:</w:t>
      </w:r>
    </w:p>
    <w:p>
      <w:pPr>
        <w:spacing w:before="40" w:after="80"/>
        <w:ind w:firstLine="709"/>
      </w:pPr>
      <w:r>
        <w:rPr>
          <w:sz w:val="22"/>
        </w:rPr>
        <w:t>Present DeFi platforms fix the interest rate as a static function of utilization. Choosing utilization as the primary indicator of both supply/demand dynamics and market risk/attractiveness and employing a fixed interest rate curve to manage these aspects is very arbitrary and manually determined. Furthermore, traditional DeFi borrowing and lending markets set the collateral factor through a comprehensive process involving community proposals and review phases. However, this method is notably slow and struggles to adapt quickly to rapid market changes, potentially leading to losses and excessive risks due to delayed parameter adjustments. The authors of prior work found that the markets for DAI and USDC frequently exhibit periods of extreme low liquidity with utilization exceeding 80% and 90% respectively, which further highlights the inadequacy of current interest rate models. Traditional stationary-curve markets depend on user interactions to push towards equilibrium—for instance, high interest rates prompt borrowers to repay loans, reducing utilization. However, this process is slow and often results in impermanent loss, especially for users with less flexibility in managing their assets.</w:t>
      </w:r>
    </w:p>
    <w:p>
      <w:pPr>
        <w:spacing w:before="280"/>
      </w:pPr>
      <w:r>
        <w:rPr>
          <w:b/>
          <w:color w:val="1A3C6E"/>
          <w:sz w:val="24"/>
        </w:rPr>
        <w:t>Methodology:</w:t>
      </w:r>
    </w:p>
    <w:p>
      <w:pPr>
        <w:spacing w:before="40" w:after="80"/>
        <w:ind w:firstLine="709"/>
      </w:pPr>
      <w:r>
        <w:rPr>
          <w:sz w:val="22"/>
        </w:rPr>
        <w:t xml:space="preserve">The protocol consists of two components operating at different timescales. The </w:t>
      </w:r>
      <w:r>
        <w:rPr>
          <w:b/>
          <w:sz w:val="22"/>
        </w:rPr>
        <w:t xml:space="preserve">high-frequency interest rate controller </w:t>
      </w:r>
      <w:r>
        <w:rPr>
          <w:sz w:val="22"/>
        </w:rPr>
        <w:t xml:space="preserve"> models lenders and borrowers as rational agents responding to interest rates relative to an external competing market offering risk-free borrow rate r_o^b and risk-free lend rate r_o^l. The market is formalized as a Markov Decision Process where the protocol 𝒫 adjusts parameters {r_t, c_t, LT_t, LI_t} at each block. The interest rate controller uses a </w:t>
      </w:r>
      <w:r>
        <w:rPr>
          <w:b/>
          <w:sz w:val="22"/>
        </w:rPr>
        <w:t xml:space="preserve">least-squares-based learning algorithm </w:t>
      </w:r>
      <w:r>
        <w:rPr>
          <w:sz w:val="22"/>
        </w:rPr>
        <w:t xml:space="preserve"> that estimates the equilibrium interest rate by observing the responsiveness of supply and demand to rate changes, achieving faster convergence than relying solely on user reactions. An adversarial-robust variant employs hard thresholding and concentration inequalities to filter out manipulated data, maintaining correctness when adversaries control less than 50% of borrowing demand. The </w:t>
      </w:r>
      <w:r>
        <w:rPr>
          <w:b/>
          <w:sz w:val="22"/>
        </w:rPr>
        <w:t xml:space="preserve">low-frequency collateral factor planner </w:t>
      </w:r>
      <w:r>
        <w:rPr>
          <w:sz w:val="22"/>
        </w:rPr>
        <w:t xml:space="preserve"> analyzes the collateral asset's price, modeled as a Geometric Brownian motion with volatility σ: p_t = p_{t-1} · exp(μ + σ · ε_t), where ε_t ~ N(0,1). The planner computes the expected default rate π_{t-1}(p_t) = (1/L_{t-1}) · Σ max{0, B_{t-1}(i) − C_{t-1}(i) · p_t} for all borrowers, and adjusts the collateral factor c to minimize default probability while maintaining target utilization. The dual system operates in discrete time intervals corresponding to one blocktime, with market stability periods T_m during which volatility is constant.</w:t>
      </w:r>
    </w:p>
    <w:p>
      <w:pPr>
        <w:spacing w:before="280"/>
      </w:pPr>
      <w:r>
        <w:rPr>
          <w:b/>
          <w:color w:val="1A3C6E"/>
          <w:sz w:val="24"/>
        </w:rPr>
        <w:t>Results and Discussion:</w:t>
      </w:r>
    </w:p>
    <w:p>
      <w:pPr>
        <w:spacing w:before="40" w:after="80"/>
        <w:ind w:firstLine="709"/>
      </w:pPr>
      <w:r>
        <w:rPr>
          <w:sz w:val="22"/>
        </w:rPr>
        <w:t>Empirical validation confirms the protocol's theoretical benefits across multiple simulated market scenarios. The interest rate controller can quickly learn the equilibrium interest rate after each market disruption, regardless of borrowers' and lenders' elasticity. In contrast, the baseline fixed-curve protocol (similar to Aave's current model) fails to find the equilibrium interest rate when user elasticity is low, due to its reliance on user reactions to push the market toward equilibrium. The collateral factor planner adaptively activates when it detects a new market regime—by learning new price and market parameters, it sets the collateral factor to maintain utilization near a predefined optimal level in the long term. The adversarial-robust controller maintains convergence guarantees even when up to 50% of borrowing demand is adversarially controlled, using hard thresholding to exclude outlier data points from the learning algorithm. Performance comparison shows the adaptive protocol achieves 3–5x faster convergence to equilibrium compared to static kink-based models.</w:t>
      </w:r>
    </w:p>
    <w:p>
      <w:pPr>
        <w:spacing w:before="280"/>
      </w:pPr>
      <w:r>
        <w:rPr>
          <w:b/>
          <w:color w:val="1A3C6E"/>
          <w:sz w:val="24"/>
        </w:rPr>
        <w:t>Conclusion:</w:t>
      </w:r>
    </w:p>
    <w:p>
      <w:pPr>
        <w:spacing w:before="40" w:after="80"/>
        <w:ind w:firstLine="709"/>
      </w:pPr>
      <w:r>
        <w:rPr>
          <w:sz w:val="22"/>
        </w:rPr>
        <w:t>The study establishes that adaptive, data-driven DeFi lending protocols significantly outperform static interest rate curves. The dual fast/slow approach—where the short-term component maintains market stability and prevents exploitation, while the long-term planner optimizes parameters for profitability and risk reduction—provides a general framework for designing adaptive markets with heterogeneous users. This work directly informs the Crypto World Bank's reserve management and borrowing limit computation, validating that algorithm-driven lending parameters adapt far better to market dynamics than governance-set static values, and motivates the project's planned reinforcement learning modules for dynamic rate optimization.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