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6</w:t>
      </w:r>
    </w:p>
    <w:p>
      <w:pPr>
        <w:spacing w:before="80"/>
      </w:pPr>
      <w:r>
        <w:rPr>
          <w:b/>
          <w:sz w:val="22"/>
        </w:rPr>
        <w:t xml:space="preserve">Paper Title: </w:t>
      </w:r>
      <w:r>
        <w:rPr>
          <w:sz w:val="22"/>
        </w:rPr>
        <w:t>Reinforcement Learning in Credit Scoring and Underwriting</w:t>
      </w:r>
    </w:p>
    <w:p>
      <w:pPr>
        <w:spacing w:before="80"/>
      </w:pPr>
      <w:r>
        <w:rPr>
          <w:b/>
          <w:sz w:val="22"/>
        </w:rPr>
        <w:t xml:space="preserve">Paper Link: </w:t>
      </w:r>
      <w:r>
        <w:rPr>
          <w:sz w:val="22"/>
        </w:rPr>
        <w:t>https://arxiv.org/abs/2212.07632</w:t>
      </w:r>
    </w:p>
    <w:p>
      <w:pPr>
        <w:spacing w:before="80"/>
      </w:pPr>
      <w:r>
        <w:rPr>
          <w:b/>
          <w:sz w:val="22"/>
        </w:rPr>
        <w:t xml:space="preserve">Authors: </w:t>
      </w:r>
      <w:r>
        <w:rPr>
          <w:sz w:val="22"/>
        </w:rPr>
        <w:t>Seksan Kiatsupaibul, Pakawan Chansiripas, Pojtanut Manopanjasiri, Kantapong Visantavarakul, Zheng Wen</w:t>
      </w:r>
    </w:p>
    <w:p>
      <w:pPr>
        <w:spacing w:before="80"/>
      </w:pPr>
      <w:r>
        <w:rPr>
          <w:b/>
          <w:sz w:val="22"/>
        </w:rPr>
        <w:t xml:space="preserve">Affiliation: </w:t>
      </w:r>
      <w:r>
        <w:rPr>
          <w:sz w:val="22"/>
        </w:rPr>
        <w:t>Chulalongkorn University, Thailand; Volvo Financial Services</w:t>
      </w:r>
    </w:p>
    <w:p>
      <w:pPr>
        <w:spacing w:before="80"/>
      </w:pPr>
      <w:r>
        <w:rPr>
          <w:b/>
          <w:sz w:val="22"/>
        </w:rPr>
        <w:t xml:space="preserve">Contact Email: </w:t>
      </w:r>
      <w:r>
        <w:rPr>
          <w:sz w:val="22"/>
        </w:rPr>
        <w:t>seksan.k@chula.ac.th</w:t>
      </w:r>
    </w:p>
    <w:p>
      <w:pPr>
        <w:spacing w:before="280"/>
      </w:pPr>
      <w:r>
        <w:rPr>
          <w:b/>
          <w:color w:val="1A3C6E"/>
          <w:sz w:val="24"/>
        </w:rPr>
        <w:t>Abstract:</w:t>
      </w:r>
    </w:p>
    <w:p>
      <w:pPr>
        <w:spacing w:before="40" w:after="80"/>
        <w:ind w:firstLine="709"/>
      </w:pPr>
      <w:r>
        <w:rPr>
          <w:sz w:val="22"/>
        </w:rPr>
        <w:t>This paper proposes a novel reinforcement learning framework for credit underwriting that tackles ungeneralizable contextual challenges. The authors adapt RL principles for credit scoring, incorporating action space renewal and multi-choice actions. The work demonstrates that the traditional underwriting approach aligns with the RL greedy strategy. Two new RL-based credit underwriting algorithms are introduced to enable more informed decision-making. Simulations show these new approaches outperform the traditional method in scenarios where data aligns with the model, while complex situations highlight model limitations and the importance of powerful base ML models.</w:t>
      </w:r>
    </w:p>
    <w:p>
      <w:pPr>
        <w:spacing w:before="280"/>
      </w:pPr>
      <w:r>
        <w:rPr>
          <w:b/>
          <w:color w:val="1A3C6E"/>
          <w:sz w:val="24"/>
        </w:rPr>
        <w:t>Introduction:</w:t>
      </w:r>
    </w:p>
    <w:p>
      <w:pPr>
        <w:spacing w:before="40" w:after="80"/>
        <w:ind w:firstLine="709"/>
      </w:pPr>
      <w:r>
        <w:rPr>
          <w:sz w:val="22"/>
        </w:rPr>
        <w:t>Traditional credit underwriting relies on static scoring models—logistic regression, decision trees, and credit scorecards—that assign fixed risk thresholds to applicants. Once a scoring model is deployed, the accept/reject threshold is typically fixed based on portfolio-level risk appetite. This static approach does not account for the sequential nature of credit decisions: today's approval affects tomorrow's portfolio composition, default rates, and capital requirements. The underwriting process is fundamentally a sequential decision-making problem where each action (approve, reject, or offer modified terms) has long-term consequences on portfolio health, yet traditional methods optimize each decision independently as a one-shot classification problem.</w:t>
      </w:r>
    </w:p>
    <w:p>
      <w:pPr>
        <w:spacing w:before="280"/>
      </w:pPr>
      <w:r>
        <w:rPr>
          <w:b/>
          <w:color w:val="1A3C6E"/>
          <w:sz w:val="24"/>
        </w:rPr>
        <w:t>Motivation:</w:t>
      </w:r>
    </w:p>
    <w:p>
      <w:pPr>
        <w:spacing w:before="40" w:after="80"/>
        <w:ind w:firstLine="709"/>
      </w:pPr>
      <w:r>
        <w:rPr>
          <w:sz w:val="22"/>
        </w:rPr>
        <w:t>The authors demonstrate that the traditional underwriting approach—accepting applicants above a fixed score threshold—is mathematically equivalent to the RL greedy strategy, which always selects the action that maximizes immediate reward without considering long-term consequences. Greedy strategies are known in RL theory to be suboptimal because they fail to explore potentially profitable segments of the applicant population that a static model undervalues. The authors hypothesize that RL frameworks incorporating exploration-exploitation trade-offs (such as ε-greedy, Upper Confidence Bound, or Thompson Sampling) can discover superior underwriting policies by: (1) exploring borrower segments that static models systematically reject; (2) learning from outcomes to refine acceptance boundaries over time; (3) adapting to distributional shifts in applicant populations.</w:t>
      </w:r>
    </w:p>
    <w:p>
      <w:pPr>
        <w:spacing w:before="280"/>
      </w:pPr>
      <w:r>
        <w:rPr>
          <w:b/>
          <w:color w:val="1A3C6E"/>
          <w:sz w:val="24"/>
        </w:rPr>
        <w:t>Methodology:</w:t>
      </w:r>
    </w:p>
    <w:p>
      <w:pPr>
        <w:spacing w:before="40" w:after="80"/>
        <w:ind w:firstLine="709"/>
      </w:pPr>
      <w:r>
        <w:rPr>
          <w:sz w:val="22"/>
        </w:rPr>
        <w:t xml:space="preserve">The credit underwriting problem is formulated as a </w:t>
      </w:r>
      <w:r>
        <w:rPr>
          <w:b/>
          <w:sz w:val="22"/>
        </w:rPr>
        <w:t xml:space="preserve">contextual bandit </w:t>
      </w:r>
      <w:r>
        <w:rPr>
          <w:sz w:val="22"/>
        </w:rPr>
        <w:t xml:space="preserve"> and full </w:t>
      </w:r>
      <w:r>
        <w:rPr>
          <w:b/>
          <w:sz w:val="22"/>
        </w:rPr>
        <w:t xml:space="preserve">MDP </w:t>
      </w:r>
      <w:r>
        <w:rPr>
          <w:sz w:val="22"/>
        </w:rPr>
        <w:t xml:space="preserve">. States represent borrower credit profiles (income, employment, debt-to-income ratio, credit history length, previous defaults) combined with portfolio-level conditions (current default rate, portfolio concentration, capital utilization). Actions include: approve at standard terms, approve at modified terms (higher rate, lower limit), request additional documentation, or reject. The reward function captures loan repayment outcomes: full repayment yields positive reward proportional to interest earned; default yields negative reward proportional to principal lost; modified terms yield intermediate rewards. Two RL algorithms are introduced: </w:t>
      </w:r>
      <w:r>
        <w:rPr>
          <w:b/>
          <w:sz w:val="22"/>
        </w:rPr>
        <w:t xml:space="preserve">(1) Action Space Renewal </w:t>
      </w:r>
      <w:r>
        <w:rPr>
          <w:sz w:val="22"/>
        </w:rPr>
        <w:t xml:space="preserve"> — the set of available actions adapts based on the applicant's context (e.g., for high-risk applicants, "approve at standard terms" is removed from the action space, forcing exploration of modified-term offers); </w:t>
      </w:r>
      <w:r>
        <w:rPr>
          <w:b/>
          <w:sz w:val="22"/>
        </w:rPr>
        <w:t xml:space="preserve">(2) Multi-Choice Actions </w:t>
      </w:r>
      <w:r>
        <w:rPr>
          <w:sz w:val="22"/>
        </w:rPr>
        <w:t xml:space="preserve"> — the agent can simultaneously offer multiple loan term options to the applicant, learning which terms are accepted by which borrower segments. The algorithms are evaluated against the greedy baseline (traditional underwriting) in simulation environments calibrated to real-world credit portfolio parameters.</w:t>
      </w:r>
    </w:p>
    <w:p>
      <w:pPr>
        <w:spacing w:before="280"/>
      </w:pPr>
      <w:r>
        <w:rPr>
          <w:b/>
          <w:color w:val="1A3C6E"/>
          <w:sz w:val="24"/>
        </w:rPr>
        <w:t>Results and Discussion:</w:t>
      </w:r>
    </w:p>
    <w:p>
      <w:pPr>
        <w:spacing w:before="40" w:after="80"/>
        <w:ind w:firstLine="709"/>
      </w:pPr>
      <w:r>
        <w:rPr>
          <w:sz w:val="22"/>
        </w:rPr>
        <w:t>In scenarios where the simulation model accurately captures borrower behavior, RL-based approaches outperform the greedy baseline by 8–15% in cumulative portfolio return, primarily by discovering and profitably lending to borrower segments that the static model rejects. The action space renewal mechanism prevents the agent from offering inappropriate terms while still allowing exploration. Multi-choice actions accelerate learning by gathering information about borrower preferences more efficiently. However, in complex scenarios with distributional shifts and model-data misalignment, RL performance degrades—sometimes performing worse than the greedy baseline. This finding emphasizes that RL benefits are contingent on the quality of the underlying credit scoring model; a poor base model cannot be compensated by sophisticated RL exploration.</w:t>
      </w:r>
    </w:p>
    <w:p>
      <w:pPr>
        <w:spacing w:before="280"/>
      </w:pPr>
      <w:r>
        <w:rPr>
          <w:b/>
          <w:color w:val="1A3C6E"/>
          <w:sz w:val="24"/>
        </w:rPr>
        <w:t>Conclusion:</w:t>
      </w:r>
    </w:p>
    <w:p>
      <w:pPr>
        <w:spacing w:before="40" w:after="80"/>
        <w:ind w:firstLine="709"/>
      </w:pPr>
      <w:r>
        <w:rPr>
          <w:sz w:val="22"/>
        </w:rPr>
        <w:t>The paper provides theoretical and empirical evidence that credit underwriting is a sequential decision problem where RL approaches can outperform static thresholds by exploring borrower segments and adapting over time. The equivalence between traditional underwriting and the greedy RL strategy is a novel insight with practical implications. For the Crypto World Bank, this validates the planned use of RL (DQN, PPO) for adaptive borrowing limit management, where each loan decision affects future portfolio risk. The caveat about base model quality reinforces the importance of the project's Random Forest and Isolation Forest models as strong foundations for RL-based policy optimization.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