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color w:val="64748B"/>
          <w:sz w:val="18"/>
        </w:rPr>
        <w:t>Md. Bokhtiar Rahman Juboraz (20301138)  |  Md. Mahir Ahnaf Ahmed (20301083)</w:t>
        <w:br/>
      </w:r>
      <w:r>
        <w:rPr>
          <w:color w:val="64748B"/>
          <w:sz w:val="18"/>
        </w:rPr>
        <w:t>Department of Computer Science and Engineering, Brac University</w:t>
        <w:br/>
      </w:r>
    </w:p>
    <w:p>
      <w:pPr>
        <w:spacing w:after="120"/>
        <w:jc w:val="center"/>
      </w:pPr>
      <w:r>
        <w:rPr>
          <w:b/>
          <w:color w:val="1A3C6E"/>
          <w:sz w:val="36"/>
        </w:rPr>
        <w:t>Literature Review: Paper 8</w:t>
      </w:r>
    </w:p>
    <w:p>
      <w:pPr>
        <w:spacing w:before="80"/>
      </w:pPr>
      <w:r>
        <w:rPr>
          <w:b/>
          <w:sz w:val="22"/>
        </w:rPr>
        <w:t xml:space="preserve">Paper Title: </w:t>
      </w:r>
      <w:r>
        <w:rPr>
          <w:sz w:val="22"/>
        </w:rPr>
        <w:t>Blockchain Technology for Digital Financial Inclusion in the Industry 4.0, Towards Sustainable Development?</w:t>
      </w:r>
    </w:p>
    <w:p>
      <w:pPr>
        <w:spacing w:before="80"/>
      </w:pPr>
      <w:r>
        <w:rPr>
          <w:b/>
          <w:sz w:val="22"/>
        </w:rPr>
        <w:t xml:space="preserve">Paper Link: </w:t>
      </w:r>
      <w:r>
        <w:rPr>
          <w:sz w:val="22"/>
        </w:rPr>
        <w:t>https://www.frontiersin.org/journals/blockchain/articles/10.3389/fbloc.2023.1035405/full</w:t>
      </w:r>
    </w:p>
    <w:p>
      <w:pPr>
        <w:spacing w:before="80"/>
      </w:pPr>
      <w:r>
        <w:rPr>
          <w:b/>
          <w:sz w:val="22"/>
        </w:rPr>
        <w:t xml:space="preserve">Authors: </w:t>
      </w:r>
      <w:r>
        <w:rPr>
          <w:sz w:val="22"/>
        </w:rPr>
        <w:t>David Mhlanga</w:t>
      </w:r>
    </w:p>
    <w:p>
      <w:pPr>
        <w:spacing w:before="80"/>
      </w:pPr>
      <w:r>
        <w:rPr>
          <w:b/>
          <w:sz w:val="22"/>
        </w:rPr>
        <w:t xml:space="preserve">Affiliation: </w:t>
      </w:r>
      <w:r>
        <w:rPr>
          <w:sz w:val="22"/>
        </w:rPr>
        <w:t>College of Business and Economics, University of Johannesburg, South Africa</w:t>
      </w:r>
    </w:p>
    <w:p>
      <w:pPr>
        <w:spacing w:before="80"/>
      </w:pPr>
      <w:r>
        <w:rPr>
          <w:b/>
          <w:sz w:val="22"/>
        </w:rPr>
        <w:t xml:space="preserve">DOI: </w:t>
      </w:r>
      <w:r>
        <w:rPr>
          <w:sz w:val="22"/>
        </w:rPr>
        <w:t>https://doi.org/10.3389/fbloc.2023.1035405</w:t>
      </w:r>
    </w:p>
    <w:p>
      <w:pPr>
        <w:spacing w:before="280"/>
      </w:pPr>
      <w:r>
        <w:rPr>
          <w:b/>
          <w:color w:val="1A3C6E"/>
          <w:sz w:val="24"/>
        </w:rPr>
        <w:t>Abstract:</w:t>
      </w:r>
    </w:p>
    <w:p>
      <w:pPr>
        <w:spacing w:before="40" w:after="80"/>
        <w:ind w:firstLine="709"/>
      </w:pPr>
      <w:r>
        <w:rPr>
          <w:sz w:val="22"/>
        </w:rPr>
        <w:t>There is significant hope that blockchain technology may be used to standardize money transactions and increase access to banking. Regulators and industry professionals have investigated the possibility of using blockchain to modernize and replace the infrastructure supporting international payments and remittances—such as correspondent banking (Nostro-Vostro accounts)—to enable decentralized verification and recording of transactions. This study analyzes how blockchain has helped include previously underserved populations in the financial system and comments on best practices toward sustainable development. Using a systematic literature review, the study discovers multiple pathways: blockchain in financial transactions, as a savings tool, in credit provision, and in insurance delivery. The findings show that even though UN Sustainable Development Goals do not specifically target financial inclusion, providing access to financial services is a critical enabler for several SDGs.</w:t>
      </w:r>
    </w:p>
    <w:p>
      <w:pPr>
        <w:spacing w:before="280"/>
      </w:pPr>
      <w:r>
        <w:rPr>
          <w:b/>
          <w:color w:val="1A3C6E"/>
          <w:sz w:val="24"/>
        </w:rPr>
        <w:t>Introduction:</w:t>
      </w:r>
    </w:p>
    <w:p>
      <w:pPr>
        <w:spacing w:before="40" w:after="80"/>
        <w:ind w:firstLine="709"/>
      </w:pPr>
      <w:r>
        <w:rPr>
          <w:sz w:val="22"/>
        </w:rPr>
        <w:t>Blockchain technologies have shown potential for institutionalizing remittances and increasing access to financial services since their inception. Rella (2019) demonstrates that blockchain promotes the formalization of remittances rather than preventing it, updating existing infrastructure, services, business plans, and regulatory frameworks. Regulators, developed banking institutions, and NGOs are increasingly looking to blockchain technologies as tools for the "financial inclusion" of the unbanked and underserved, as well as for the formalization of previously informal value transfers. The introduction of Bitcoin in 2008/2009 enabled peer-to-peer money transfers across borders without a trusted central entity. According to Ohnesorge (2018), blockchains are sometimes referred to as the "internet of trust," reflecting their potential beyond payment systems to enable direct trading of digitally representable goods and services between parties who do not trust each other.</w:t>
      </w:r>
    </w:p>
    <w:p>
      <w:pPr>
        <w:spacing w:before="280"/>
      </w:pPr>
      <w:r>
        <w:rPr>
          <w:b/>
          <w:color w:val="1A3C6E"/>
          <w:sz w:val="24"/>
        </w:rPr>
        <w:t>Motivation:</w:t>
      </w:r>
    </w:p>
    <w:p>
      <w:pPr>
        <w:spacing w:before="40" w:after="80"/>
        <w:ind w:firstLine="709"/>
      </w:pPr>
      <w:r>
        <w:rPr>
          <w:sz w:val="22"/>
        </w:rPr>
        <w:t>The World Bank (2022) defines financial inclusion as individuals and enterprises having access to usable and affordable financial products and services—transactions, payments, savings, credit, and insurance—supplied responsibly and sustainably. Eight of seventeen UN SDGs have recognized financial inclusion as a key facilitator. Between 2011 and 2017, 1.2 billion additional adults gained bank accounts, bringing global account ownership to 69%. Yet significant gaps persist: over 80 nations offer digital financial services via mobile phones, but rural and underserved populations in developing countries remain excluded due to the high cost of traditional banking infrastructure. Digital financial inclusion—deploying cost-saving digital means to reach excluded populations—requires a digital transactional platform, retail agents, and customer devices (most commonly mobile phones). Blockchain provides the foundational technology for all three components, but adoption requires understanding local culture and norms around technology (Schuetz and Venkatesh, 2020).</w:t>
      </w:r>
    </w:p>
    <w:p>
      <w:pPr>
        <w:spacing w:before="280"/>
      </w:pPr>
      <w:r>
        <w:rPr>
          <w:b/>
          <w:color w:val="1A3C6E"/>
          <w:sz w:val="24"/>
        </w:rPr>
        <w:t>Methodology:</w:t>
      </w:r>
    </w:p>
    <w:p>
      <w:pPr>
        <w:spacing w:before="40" w:after="80"/>
        <w:ind w:firstLine="709"/>
      </w:pPr>
      <w:r>
        <w:rPr>
          <w:sz w:val="22"/>
        </w:rPr>
        <w:t xml:space="preserve">A </w:t>
      </w:r>
      <w:r>
        <w:rPr>
          <w:b/>
          <w:sz w:val="22"/>
        </w:rPr>
        <w:t xml:space="preserve">systematic literature review (SLR) </w:t>
      </w:r>
      <w:r>
        <w:rPr>
          <w:sz w:val="22"/>
        </w:rPr>
        <w:t xml:space="preserve"> methodology is employed following established protocols for identifying, evaluating, and synthesizing peer-reviewed publications. The search targets publications on blockchain and financial inclusion from databases including Scopus, Web of Science, and Google Scholar. The review categorizes blockchain applications into four domains: </w:t>
      </w:r>
      <w:r>
        <w:rPr>
          <w:b/>
          <w:sz w:val="22"/>
        </w:rPr>
        <w:t xml:space="preserve">(1) Financial Transactions and Payments </w:t>
      </w:r>
      <w:r>
        <w:rPr>
          <w:sz w:val="22"/>
        </w:rPr>
        <w:t xml:space="preserve"> — blockchain enables direct peer-to-peer transactions without intermediaries, reducing costs for international remittances that currently cost 6–7% through traditional channels; correspondent banking networks (Nostro-Vostro accounts) are expensive and slow, with settlement taking 2–5 business days; blockchain settlement is near-instantaneous at a fraction of the cost. </w:t>
      </w:r>
      <w:r>
        <w:rPr>
          <w:b/>
          <w:sz w:val="22"/>
        </w:rPr>
        <w:t xml:space="preserve">(2) Savings Facilitation </w:t>
      </w:r>
      <w:r>
        <w:rPr>
          <w:sz w:val="22"/>
        </w:rPr>
        <w:t xml:space="preserve"> — smart contracts automate savings agreements without trusted third parties; decentralized savings protocols offer interest rates determined by supply/demand rather than institution-set rates. </w:t>
      </w:r>
      <w:r>
        <w:rPr>
          <w:b/>
          <w:sz w:val="22"/>
        </w:rPr>
        <w:t xml:space="preserve">(3) Credit Provision </w:t>
      </w:r>
      <w:r>
        <w:rPr>
          <w:sz w:val="22"/>
        </w:rPr>
        <w:t xml:space="preserve"> — blockchain-based identity systems provide credit histories for the unbanked; transaction records on distributed ledgers serve as proof of economic activity; smart contracts enforce lending terms automatically. </w:t>
      </w:r>
      <w:r>
        <w:rPr>
          <w:b/>
          <w:sz w:val="22"/>
        </w:rPr>
        <w:t xml:space="preserve">(4) Insurance Delivery </w:t>
      </w:r>
      <w:r>
        <w:rPr>
          <w:sz w:val="22"/>
        </w:rPr>
        <w:t xml:space="preserve"> — parametric insurance on blockchain uses oracles to trigger automatic payouts when predefined conditions are met, reducing overhead costs and claims processing time.</w:t>
      </w:r>
    </w:p>
    <w:p>
      <w:pPr>
        <w:spacing w:before="280"/>
      </w:pPr>
      <w:r>
        <w:rPr>
          <w:b/>
          <w:color w:val="1A3C6E"/>
          <w:sz w:val="24"/>
        </w:rPr>
        <w:t>Results and Discussion:</w:t>
      </w:r>
    </w:p>
    <w:p>
      <w:pPr>
        <w:spacing w:before="40" w:after="80"/>
        <w:ind w:firstLine="709"/>
      </w:pPr>
      <w:r>
        <w:rPr>
          <w:sz w:val="22"/>
        </w:rPr>
        <w:t>The systematic review finds strong evidence across all four domains. For transactions, blockchain-based remittance services have reduced costs to below 3% in pilot programs in Sub-Saharan Africa and Southeast Asia. For savings, DeFi protocols demonstrate that decentralized interest rates can be more competitive than traditional savings accounts in developing economies where bank interest rates are often negative in real terms. For credit, blockchain-based credit scoring using transaction history (rather than traditional credit bureau data) has shown promise in pilot programs—Abdulhakeem and Hu (2021) document cases where blockchain identity systems enabled first-time lending to previously excluded populations. For insurance, parametric crop insurance on blockchain in Kenya and India has reduced claims processing from weeks to minutes. The four fundamental blockchain properties enabling these outcomes are: (1) decentralization (no single point of failure), (2) immutability (tamper-evident record of all transactions), (3) cryptographic security (preventing unauthorized access), and (4) smart contract automation (self-executing agreements without intermediaries).</w:t>
      </w:r>
    </w:p>
    <w:p>
      <w:pPr>
        <w:spacing w:before="280"/>
      </w:pPr>
      <w:r>
        <w:rPr>
          <w:b/>
          <w:color w:val="1A3C6E"/>
          <w:sz w:val="24"/>
        </w:rPr>
        <w:t>Conclusion:</w:t>
      </w:r>
    </w:p>
    <w:p>
      <w:pPr>
        <w:spacing w:before="40" w:after="80"/>
        <w:ind w:firstLine="709"/>
      </w:pPr>
      <w:r>
        <w:rPr>
          <w:sz w:val="22"/>
        </w:rPr>
        <w:t>Blockchain technology is uniquely positioned to advance financial inclusion across transactions, savings, credit, and insurance—the four pillars of financial access. The findings support the Crypto World Bank's mission of creating a transparent, programmable lending platform targeting underserved populations. If governments, especially in developing countries, prioritize blockchain investment, sustainable development can be ensured on many fronts through improved financial inclusion. The Crypto World Bank's hierarchical lending model directly addresses the credit provision gap by enabling decentralized loan origination with AI-augmented risk assessment for borrowers who lack traditional credit histories.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