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14</w:t>
      </w:r>
    </w:p>
    <w:p>
      <w:pPr>
        <w:spacing w:before="80"/>
      </w:pPr>
      <w:r>
        <w:rPr>
          <w:b/>
          <w:sz w:val="22"/>
        </w:rPr>
        <w:t xml:space="preserve">Paper Title: </w:t>
      </w:r>
      <w:r>
        <w:rPr>
          <w:sz w:val="22"/>
        </w:rPr>
        <w:t>Governance in the Blockchain Economy: A Framework and Research Agenda</w:t>
      </w:r>
    </w:p>
    <w:p>
      <w:pPr>
        <w:spacing w:before="80"/>
      </w:pPr>
      <w:r>
        <w:rPr>
          <w:b/>
          <w:sz w:val="22"/>
        </w:rPr>
        <w:t xml:space="preserve">Paper Link: </w:t>
      </w:r>
      <w:r>
        <w:rPr>
          <w:sz w:val="22"/>
        </w:rPr>
        <w:t>https://aisel.aisnet.org/jais/vol19/iss10/1/</w:t>
      </w:r>
    </w:p>
    <w:p>
      <w:pPr>
        <w:spacing w:before="80"/>
      </w:pPr>
      <w:r>
        <w:rPr>
          <w:b/>
          <w:sz w:val="22"/>
        </w:rPr>
        <w:t xml:space="preserve">Authors: </w:t>
      </w:r>
      <w:r>
        <w:rPr>
          <w:sz w:val="22"/>
        </w:rPr>
        <w:t>Roman Beck, Christoph Müller-Bloch, John Leslie King</w:t>
      </w:r>
    </w:p>
    <w:p>
      <w:pPr>
        <w:spacing w:before="80"/>
      </w:pPr>
      <w:r>
        <w:rPr>
          <w:b/>
          <w:sz w:val="22"/>
        </w:rPr>
        <w:t xml:space="preserve">Affiliation: </w:t>
      </w:r>
      <w:r>
        <w:rPr>
          <w:sz w:val="22"/>
        </w:rPr>
        <w:t>IT University of Copenhagen, Denmark; University of Michigan, USA</w:t>
      </w:r>
    </w:p>
    <w:p>
      <w:pPr>
        <w:spacing w:before="80"/>
      </w:pPr>
      <w:r>
        <w:rPr>
          <w:b/>
          <w:sz w:val="22"/>
        </w:rPr>
        <w:t xml:space="preserve">Source: </w:t>
      </w:r>
      <w:r>
        <w:rPr>
          <w:sz w:val="22"/>
        </w:rPr>
        <w:t>Journal of the Association for Information Systems, 19(10), 2018</w:t>
      </w:r>
    </w:p>
    <w:p>
      <w:pPr>
        <w:spacing w:before="280"/>
      </w:pPr>
      <w:r>
        <w:rPr>
          <w:b/>
          <w:color w:val="1A3C6E"/>
          <w:sz w:val="24"/>
        </w:rPr>
        <w:t>Abstract:</w:t>
      </w:r>
    </w:p>
    <w:p>
      <w:pPr>
        <w:spacing w:before="40" w:after="80"/>
        <w:ind w:firstLine="709"/>
      </w:pPr>
      <w:r>
        <w:rPr>
          <w:sz w:val="22"/>
        </w:rPr>
        <w:t>Blockchain technology promises to create decentralized economies governed by consensus rather than centralized authorities. However, governance remains a critical challenge—systems without effective governance mechanisms face fragmentation, exploitation, and failure. This paper proposes a comprehensive governance framework for blockchain-based systems addressing three dimensions: IT governance, network governance, and business governance, each with specific decision domains, accountability structures, and incentive mechanisms.</w:t>
      </w:r>
    </w:p>
    <w:p>
      <w:pPr>
        <w:spacing w:before="280"/>
      </w:pPr>
      <w:r>
        <w:rPr>
          <w:b/>
          <w:color w:val="1A3C6E"/>
          <w:sz w:val="24"/>
        </w:rPr>
        <w:t>Introduction:</w:t>
      </w:r>
    </w:p>
    <w:p>
      <w:pPr>
        <w:spacing w:before="40" w:after="80"/>
        <w:ind w:firstLine="709"/>
      </w:pPr>
      <w:r>
        <w:rPr>
          <w:sz w:val="22"/>
        </w:rPr>
        <w:t>Early blockchain systems demonstrated that governance failures have severe consequences: the Bitcoin block size debate fractured the community into competing factions, ultimately producing the Bitcoin/Bitcoin Cash hard fork. Ethereum's DAO hack required a contentious hard fork to recover stolen funds, splitting the network into Ethereum and Ethereum Classic. These events demonstrate that while blockchain technology decentralizes computation and data storage, it cannot decentralize the need for governance—decisions about protocol upgrades, resource allocation, dispute resolution, and participant accountability require structured processes regardless of the underlying technology.</w:t>
      </w:r>
    </w:p>
    <w:p>
      <w:pPr>
        <w:spacing w:before="280"/>
      </w:pPr>
      <w:r>
        <w:rPr>
          <w:b/>
          <w:color w:val="1A3C6E"/>
          <w:sz w:val="24"/>
        </w:rPr>
        <w:t>Motivation:</w:t>
      </w:r>
    </w:p>
    <w:p>
      <w:pPr>
        <w:spacing w:before="40" w:after="80"/>
        <w:ind w:firstLine="709"/>
      </w:pPr>
      <w:r>
        <w:rPr>
          <w:sz w:val="22"/>
        </w:rPr>
        <w:t>As blockchain technology moves from cryptocurrency applications into institutional settings (supply chain, healthcare, finance), governance becomes even more critical. Institutional applications involve regulated entities with legal obligations, compliance requirements, and fiduciary duties that cannot be satisfied by informal community governance alone. The blockchain governance literature is fragmented, drawing from IT governance (COBIT, ITIL), network governance (platform ecosystems, open-source communities), and political governance (voting theory, constitutional design) without a unified framework. This paper synthesizes these strands into a coherent three-dimensional model applicable to blockchain-based economic systems.</w:t>
      </w:r>
    </w:p>
    <w:p>
      <w:pPr>
        <w:spacing w:before="280"/>
      </w:pPr>
      <w:r>
        <w:rPr>
          <w:b/>
          <w:color w:val="1A3C6E"/>
          <w:sz w:val="24"/>
        </w:rPr>
        <w:t>Methodology:</w:t>
      </w:r>
    </w:p>
    <w:p>
      <w:pPr>
        <w:spacing w:before="40" w:after="80"/>
        <w:ind w:firstLine="709"/>
      </w:pPr>
      <w:r>
        <w:rPr>
          <w:sz w:val="22"/>
        </w:rPr>
        <w:t xml:space="preserve">The authors develop their framework through </w:t>
      </w:r>
      <w:r>
        <w:rPr>
          <w:b/>
          <w:sz w:val="22"/>
        </w:rPr>
        <w:t xml:space="preserve">literature synthesis </w:t>
      </w:r>
      <w:r>
        <w:rPr>
          <w:sz w:val="22"/>
        </w:rPr>
        <w:t xml:space="preserve"> across three governance traditions: </w:t>
      </w:r>
      <w:r>
        <w:rPr>
          <w:b/>
          <w:sz w:val="22"/>
        </w:rPr>
        <w:t xml:space="preserve">(1) IT Governance </w:t>
      </w:r>
      <w:r>
        <w:rPr>
          <w:sz w:val="22"/>
        </w:rPr>
        <w:t xml:space="preserve"> — drawing from COBIT (Control Objectives for Information and Related Technologies) and ITIL (Information Technology Infrastructure Library), this dimension addresses: infrastructure management (node requirements, network topology, performance standards), protocol upgrade processes (BIP/EIP proposal systems, soft vs. hard forks), security standards (cryptographic requirements, key management, incident response), and data management (storage architecture, privacy controls, backup procedures). </w:t>
      </w:r>
      <w:r>
        <w:rPr>
          <w:b/>
          <w:sz w:val="22"/>
        </w:rPr>
        <w:t xml:space="preserve">(2) Network Governance </w:t>
      </w:r>
      <w:r>
        <w:rPr>
          <w:sz w:val="22"/>
        </w:rPr>
        <w:t xml:space="preserve"> — drawing from platform ecosystem literature and open-source community management, this dimension addresses: membership criteria (who can join/leave the network), consensus mechanism selection and evolution (PoW → PoS transitions), dispute resolution (arbitration for contested transactions), role definition (validators, developers, users, governance participants), and network effects management (incentivizing adoption while preventing centralization). </w:t>
      </w:r>
      <w:r>
        <w:rPr>
          <w:b/>
          <w:sz w:val="22"/>
        </w:rPr>
        <w:t xml:space="preserve">(3) Business Governance </w:t>
      </w:r>
      <w:r>
        <w:rPr>
          <w:sz w:val="22"/>
        </w:rPr>
        <w:t xml:space="preserve"> — drawing from corporate governance and regulatory compliance, this dimension addresses: revenue model alignment (fee structures, token economics), regulatory compliance (KYC/AML integration, cross-jurisdictional requirements), stakeholder accountability (transparency reporting, audit trails), incentive alignment (preventing misaligned economic incentives among participants), and risk management (insurance, circuit breakers, emergency procedures). For each dimension, the paper identifies: </w:t>
      </w:r>
      <w:r>
        <w:rPr>
          <w:b/>
          <w:sz w:val="22"/>
        </w:rPr>
        <w:t xml:space="preserve">decision domains </w:t>
      </w:r>
      <w:r>
        <w:rPr>
          <w:sz w:val="22"/>
        </w:rPr>
        <w:t xml:space="preserve"> (what decisions must be made), </w:t>
      </w:r>
      <w:r>
        <w:rPr>
          <w:b/>
          <w:sz w:val="22"/>
        </w:rPr>
        <w:t xml:space="preserve">accountability mechanisms </w:t>
      </w:r>
      <w:r>
        <w:rPr>
          <w:sz w:val="22"/>
        </w:rPr>
        <w:t xml:space="preserve"> (who is responsible and how they are held accountable), and </w:t>
      </w:r>
      <w:r>
        <w:rPr>
          <w:b/>
          <w:sz w:val="22"/>
        </w:rPr>
        <w:t xml:space="preserve">incentive structures </w:t>
      </w:r>
      <w:r>
        <w:rPr>
          <w:sz w:val="22"/>
        </w:rPr>
        <w:t xml:space="preserve"> (how participants are motivated to act in the system's interest).</w:t>
      </w:r>
    </w:p>
    <w:p>
      <w:pPr>
        <w:spacing w:before="280"/>
      </w:pPr>
      <w:r>
        <w:rPr>
          <w:b/>
          <w:color w:val="1A3C6E"/>
          <w:sz w:val="24"/>
        </w:rPr>
        <w:t>Results and Discussion:</w:t>
      </w:r>
    </w:p>
    <w:p>
      <w:pPr>
        <w:spacing w:before="40" w:after="80"/>
        <w:ind w:firstLine="709"/>
      </w:pPr>
      <w:r>
        <w:rPr>
          <w:sz w:val="22"/>
        </w:rPr>
        <w:t xml:space="preserve">The framework analysis reveals that effective blockchain governance requires balanced attention to all three dimensions—systems that excel in IT governance but neglect business governance (or vice versa) face characteristic failure modes: (1) Systems with strong IT governance but weak network governance suffer from participation concentration—a small group makes all technical decisions, creating centralization risk. Bitcoin's mining centralization (top 3 pools controlling &gt;50% hash rate at times) exemplifies this. (2) Systems with strong network governance but weak business governance attract participants but cannot sustain operations—many DAOs have governance token voting but no revenue model. (3) Systems with strong business governance but weak IT governance experience technical failures—the repeated DeFi protocol hacks (&gt;$3B in total losses) reflect insufficient technical governance. The framework identifies that </w:t>
      </w:r>
      <w:r>
        <w:rPr>
          <w:b/>
          <w:sz w:val="22"/>
        </w:rPr>
        <w:t xml:space="preserve">on-chain governance </w:t>
      </w:r>
      <w:r>
        <w:rPr>
          <w:sz w:val="22"/>
        </w:rPr>
        <w:t xml:space="preserve"> (voting via smart contracts) and </w:t>
      </w:r>
      <w:r>
        <w:rPr>
          <w:b/>
          <w:sz w:val="22"/>
        </w:rPr>
        <w:t xml:space="preserve">off-chain governance </w:t>
      </w:r>
      <w:r>
        <w:rPr>
          <w:sz w:val="22"/>
        </w:rPr>
        <w:t xml:space="preserve"> (community discussions, formal proposals) are complementary, not substitutes—effective systems require both.</w:t>
      </w:r>
    </w:p>
    <w:p>
      <w:pPr>
        <w:spacing w:before="280"/>
      </w:pPr>
      <w:r>
        <w:rPr>
          <w:b/>
          <w:color w:val="1A3C6E"/>
          <w:sz w:val="24"/>
        </w:rPr>
        <w:t>Conclusion:</w:t>
      </w:r>
    </w:p>
    <w:p>
      <w:pPr>
        <w:spacing w:before="40" w:after="80"/>
        <w:ind w:firstLine="709"/>
      </w:pPr>
      <w:r>
        <w:rPr>
          <w:sz w:val="22"/>
        </w:rPr>
        <w:t>The Crypto World Bank's three-pillar governance structure (Technology Infrastructure Governance, Network Membership Governance, Business Operations Governance) directly implements this framework's three dimensions. Each tier of the banking hierarchy has defined decision rights (World Bank Admin can pause/unpause, National Bank can register Local Banks, Local Bank can set approvers), accountability mechanisms (on-chain event logging, AI/ML security monitoring), and incentive alignment (loan origination fees, repayment rewards, consecutive-payment bonuses)—all codified in immutable smart contract logic with emergency controls (pause/unpause, emergency withdraw) for crisis response.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