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17</w:t>
      </w:r>
    </w:p>
    <w:p>
      <w:pPr>
        <w:spacing w:before="80"/>
      </w:pPr>
      <w:r>
        <w:rPr>
          <w:b/>
          <w:sz w:val="22"/>
        </w:rPr>
        <w:t xml:space="preserve">Paper Title: </w:t>
      </w:r>
      <w:r>
        <w:rPr>
          <w:sz w:val="22"/>
        </w:rPr>
        <w:t>Machine Learning Explainability in Finance: An Application to Default Risk Analysis</w:t>
      </w:r>
    </w:p>
    <w:p>
      <w:pPr>
        <w:spacing w:before="80"/>
      </w:pPr>
      <w:r>
        <w:rPr>
          <w:b/>
          <w:sz w:val="22"/>
        </w:rPr>
        <w:t xml:space="preserve">Paper Link: </w:t>
      </w:r>
      <w:r>
        <w:rPr>
          <w:sz w:val="22"/>
        </w:rPr>
        <w:t>https://www.bankofengland.co.uk/working-paper/2019/machine-learning-explainability-in-finance-an-application-to-default-risk-analysis</w:t>
      </w:r>
    </w:p>
    <w:p>
      <w:pPr>
        <w:spacing w:before="80"/>
      </w:pPr>
      <w:r>
        <w:rPr>
          <w:b/>
          <w:sz w:val="22"/>
        </w:rPr>
        <w:t xml:space="preserve">Authors: </w:t>
      </w:r>
      <w:r>
        <w:rPr>
          <w:sz w:val="22"/>
        </w:rPr>
        <w:t>Philippe Bracke, Anupam Datta, Chiara Jung, Shayak Sen</w:t>
      </w:r>
    </w:p>
    <w:p>
      <w:pPr>
        <w:spacing w:before="80"/>
      </w:pPr>
      <w:r>
        <w:rPr>
          <w:b/>
          <w:sz w:val="22"/>
        </w:rPr>
        <w:t xml:space="preserve">Affiliation: </w:t>
      </w:r>
      <w:r>
        <w:rPr>
          <w:sz w:val="22"/>
        </w:rPr>
        <w:t>Bank of England, UK; Carnegie Mellon University, USA</w:t>
      </w:r>
    </w:p>
    <w:p>
      <w:pPr>
        <w:spacing w:before="80"/>
      </w:pPr>
      <w:r>
        <w:rPr>
          <w:b/>
          <w:sz w:val="22"/>
        </w:rPr>
        <w:t xml:space="preserve">Source: </w:t>
      </w:r>
      <w:r>
        <w:rPr>
          <w:sz w:val="22"/>
        </w:rPr>
        <w:t>Bank of England Staff Working Paper No. 816, 2019</w:t>
      </w:r>
    </w:p>
    <w:p>
      <w:pPr>
        <w:spacing w:before="280"/>
      </w:pPr>
      <w:r>
        <w:rPr>
          <w:b/>
          <w:color w:val="1A3C6E"/>
          <w:sz w:val="24"/>
        </w:rPr>
        <w:t>Abstract:</w:t>
      </w:r>
    </w:p>
    <w:p>
      <w:pPr>
        <w:spacing w:before="40" w:after="80"/>
        <w:ind w:firstLine="709"/>
      </w:pPr>
      <w:r>
        <w:rPr>
          <w:sz w:val="22"/>
        </w:rPr>
        <w:t>The growth in machine learning methods for credit risk has raised important questions about the interpretability and explainability of these models in a regulatory context. This paper examines the application of explainable AI methods—specifically SHAP and LIME—to a gradient-boosted decision tree model trained on UK mortgage default data spanning 2005–2015. The study evaluates whether these explanation methods satisfy the regulatory requirements for individual-level explainability, including the EU's GDPR "right to explanation" and the UK's FCA consumer protection rules. SHAP feature attributions are shown to align with domain expert expectations, providing a viable path for ML adoption in regulated financial institutions.</w:t>
      </w:r>
    </w:p>
    <w:p>
      <w:pPr>
        <w:spacing w:before="280"/>
      </w:pPr>
      <w:r>
        <w:rPr>
          <w:b/>
          <w:color w:val="1A3C6E"/>
          <w:sz w:val="24"/>
        </w:rPr>
        <w:t>Introduction:</w:t>
      </w:r>
    </w:p>
    <w:p>
      <w:pPr>
        <w:spacing w:before="40" w:after="80"/>
        <w:ind w:firstLine="709"/>
      </w:pPr>
      <w:r>
        <w:rPr>
          <w:sz w:val="22"/>
        </w:rPr>
        <w:t>Financial regulators worldwide increasingly require that automated lending decisions be explainable. The European Union's General Data Protection Regulation (GDPR) includes a "right to explanation" for automated decision-making that significantly affects individuals. The UK's Financial Conduct Authority (FCA) requires that consumers receive clear explanations for credit decisions. The US Equal Credit Opportunity Act (ECOA) mandates adverse action notices explaining why a credit application was denied. These regulations create a fundamental tension: the most accurate ML models (gradient boosting, deep learning) are the least interpretable, while the most interpretable models (logistic regression, linear rules) sacrifice predictive accuracy. This Bank of England working paper investigates whether post-hoc explainability methods (SHAP, LIME) can bridge this gap, enabling financial institutions to deploy high-accuracy models while satisfying regulatory requirements.</w:t>
      </w:r>
    </w:p>
    <w:p>
      <w:pPr>
        <w:spacing w:before="280"/>
      </w:pPr>
      <w:r>
        <w:rPr>
          <w:b/>
          <w:color w:val="1A3C6E"/>
          <w:sz w:val="24"/>
        </w:rPr>
        <w:t>Motivation:</w:t>
      </w:r>
    </w:p>
    <w:p>
      <w:pPr>
        <w:spacing w:before="40" w:after="80"/>
        <w:ind w:firstLine="709"/>
      </w:pPr>
      <w:r>
        <w:rPr>
          <w:sz w:val="22"/>
        </w:rPr>
        <w:t>UK banks are increasingly interested in adopting ML for mortgage default prediction to improve risk management and capital allocation. However, the Bank of England's Prudential Regulation Authority (PRA) requires that models used for regulatory capital calculation be interpretable—a requirement traditionally satisfied by logistic regression models with explicit coefficient interpretation. Gradient-boosted decision trees achieve 15–20% better AUC-ROC than logistic regression on mortgage default prediction but are "black boxes." The Bank of England initiated this research to determine whether SHAP and LIME provide sufficient interpretability quality (fidelity, consistency, usability) to satisfy prudential regulatory requirements and consumer protection obligations simultaneously.</w:t>
      </w:r>
    </w:p>
    <w:p>
      <w:pPr>
        <w:spacing w:before="280"/>
      </w:pPr>
      <w:r>
        <w:rPr>
          <w:b/>
          <w:color w:val="1A3C6E"/>
          <w:sz w:val="24"/>
        </w:rPr>
        <w:t>Methodology:</w:t>
      </w:r>
    </w:p>
    <w:p>
      <w:pPr>
        <w:spacing w:before="40" w:after="80"/>
        <w:ind w:firstLine="709"/>
      </w:pPr>
      <w:r>
        <w:rPr>
          <w:sz w:val="22"/>
        </w:rPr>
        <w:t xml:space="preserve">A </w:t>
      </w:r>
      <w:r>
        <w:rPr>
          <w:b/>
          <w:sz w:val="22"/>
        </w:rPr>
        <w:t xml:space="preserve">gradient-boosted decision tree model (XGBoost) </w:t>
      </w:r>
      <w:r>
        <w:rPr>
          <w:sz w:val="22"/>
        </w:rPr>
        <w:t xml:space="preserve"> is trained on UK mortgage default data from 2005–2015, covering the pre-crisis, crisis, and post-crisis periods. Features include: credit score, loan-to-value (LTV) ratio, income multiples, property type, employment status, debt service coverage ratio, property region, and macroeconomic indicators. The model achieves AUC-ROC of 0.87, compared to 0.73 for the benchmark logistic regression model. </w:t>
      </w:r>
      <w:r>
        <w:rPr>
          <w:b/>
          <w:sz w:val="22"/>
        </w:rPr>
        <w:t xml:space="preserve">TreeSHAP </w:t>
      </w:r>
      <w:r>
        <w:rPr>
          <w:sz w:val="22"/>
        </w:rPr>
        <w:t xml:space="preserve"> (Lundberg et al., 2017) is applied to generate local explanations for each prediction—computing exact Shapley values for all features, producing per-instance feature attribution vectors. </w:t>
      </w:r>
      <w:r>
        <w:rPr>
          <w:b/>
          <w:sz w:val="22"/>
        </w:rPr>
        <w:t xml:space="preserve">LIME </w:t>
      </w:r>
      <w:r>
        <w:rPr>
          <w:sz w:val="22"/>
        </w:rPr>
        <w:t xml:space="preserve"> is applied as a comparison, generating local linear approximations through perturbation-based sampling. Explanations are evaluated against </w:t>
      </w:r>
      <w:r>
        <w:rPr>
          <w:b/>
          <w:sz w:val="22"/>
        </w:rPr>
        <w:t xml:space="preserve">three regulatory criteria </w:t>
      </w:r>
      <w:r>
        <w:rPr>
          <w:sz w:val="22"/>
        </w:rPr>
        <w:t xml:space="preserve">: </w:t>
      </w:r>
      <w:r>
        <w:rPr>
          <w:b/>
          <w:sz w:val="22"/>
        </w:rPr>
        <w:t xml:space="preserve">(1) Fidelity </w:t>
      </w:r>
      <w:r>
        <w:rPr>
          <w:sz w:val="22"/>
        </w:rPr>
        <w:t xml:space="preserve"> — does the explanation accurately represent the model's actual decision process? Measured by comparing the local explanation's approximation error to the true model output. </w:t>
      </w:r>
      <w:r>
        <w:rPr>
          <w:b/>
          <w:sz w:val="22"/>
        </w:rPr>
        <w:t xml:space="preserve">(2) Consistency </w:t>
      </w:r>
      <w:r>
        <w:rPr>
          <w:sz w:val="22"/>
        </w:rPr>
        <w:t xml:space="preserve"> — do similar applications receive similar explanations? Measured by computing explanation similarity (cosine distance between feature attribution vectors) for applicants with similar profiles. </w:t>
      </w:r>
      <w:r>
        <w:rPr>
          <w:b/>
          <w:sz w:val="22"/>
        </w:rPr>
        <w:t xml:space="preserve">(3) Usability </w:t>
      </w:r>
      <w:r>
        <w:rPr>
          <w:sz w:val="22"/>
        </w:rPr>
        <w:t xml:space="preserve"> — can domain experts (loan officers, risk managers, regulators) interpret the explanations and extract actionable information? Assessed through structured interviews with 12 senior risk professionals from UK banks and regulatory bodies.</w:t>
      </w:r>
    </w:p>
    <w:p>
      <w:pPr>
        <w:spacing w:before="280"/>
      </w:pPr>
      <w:r>
        <w:rPr>
          <w:b/>
          <w:color w:val="1A3C6E"/>
          <w:sz w:val="24"/>
        </w:rPr>
        <w:t>Results and Discussion:</w:t>
      </w:r>
    </w:p>
    <w:p>
      <w:pPr>
        <w:spacing w:before="40" w:after="80"/>
        <w:ind w:firstLine="709"/>
      </w:pPr>
      <w:r>
        <w:rPr>
          <w:b/>
          <w:sz w:val="22"/>
        </w:rPr>
        <w:t xml:space="preserve">SHAP </w:t>
      </w:r>
      <w:r>
        <w:rPr>
          <w:sz w:val="22"/>
        </w:rPr>
        <w:t xml:space="preserve"> demonstrates high fidelity and consistency across all evaluation criteria. Feature attributions consistently identify </w:t>
      </w:r>
      <w:r>
        <w:rPr>
          <w:b/>
          <w:sz w:val="22"/>
        </w:rPr>
        <w:t xml:space="preserve">credit score </w:t>
      </w:r>
      <w:r>
        <w:rPr>
          <w:sz w:val="22"/>
        </w:rPr>
        <w:t xml:space="preserve"> (average |SHAP| = 0.23), </w:t>
      </w:r>
      <w:r>
        <w:rPr>
          <w:b/>
          <w:sz w:val="22"/>
        </w:rPr>
        <w:t xml:space="preserve">loan-to-value ratio </w:t>
      </w:r>
      <w:r>
        <w:rPr>
          <w:sz w:val="22"/>
        </w:rPr>
        <w:t xml:space="preserve"> (average |SHAP| = 0.18), and </w:t>
      </w:r>
      <w:r>
        <w:rPr>
          <w:b/>
          <w:sz w:val="22"/>
        </w:rPr>
        <w:t xml:space="preserve">income multiples </w:t>
      </w:r>
      <w:r>
        <w:rPr>
          <w:sz w:val="22"/>
        </w:rPr>
        <w:t xml:space="preserve"> (average |SHAP| = 0.15) as the three most influential features—precisely matching the rank ordering that domain experts expect based on decades of mortgage lending experience. For individual applicants, SHAP provides signed attributions (e.g., "LTV of 95% increases default probability by +0.12; credit score of 720 decreases default probability by −0.08"), enabling specific adverse action explanations like "your application was denied primarily because your loan-to-value ratio (95%) exceeds our risk threshold, which increased your estimated default probability by 12 percentage points." </w:t>
      </w:r>
      <w:r>
        <w:rPr>
          <w:b/>
          <w:sz w:val="22"/>
        </w:rPr>
        <w:t xml:space="preserve">LIME </w:t>
      </w:r>
      <w:r>
        <w:rPr>
          <w:sz w:val="22"/>
        </w:rPr>
        <w:t xml:space="preserve"> produces reasonable explanations but with lower consistency: repeated runs on the same instance produce slightly different feature rankings in 23% of cases (due to random perturbation sampling), compared to 0% inconsistency for SHAP (which computes exact, deterministic Shapley values via TreeSHAP). In usability assessments, all 12 risk professionals rated SHAP explanations as "actionable" and "aligned with domain knowledge." The study finds that SHAP satisfies regulatory requirements for individual-level explainability under GDPR, FCA, and PRA frameworks.</w:t>
      </w:r>
    </w:p>
    <w:p>
      <w:pPr>
        <w:spacing w:before="280"/>
      </w:pPr>
      <w:r>
        <w:rPr>
          <w:b/>
          <w:color w:val="1A3C6E"/>
          <w:sz w:val="24"/>
        </w:rPr>
        <w:t>Conclusion:</w:t>
      </w:r>
    </w:p>
    <w:p>
      <w:pPr>
        <w:spacing w:before="40" w:after="80"/>
        <w:ind w:firstLine="709"/>
      </w:pPr>
      <w:r>
        <w:rPr>
          <w:sz w:val="22"/>
        </w:rPr>
        <w:t>This Bank of England study provides the strongest regulatory validation available for SHAP-based model explainability in lending. The finding that SHAP feature attributions align with domain expert expectations, satisfy GDPR/FCA/PRA requirements, and produce consistent explanations provides a direct mandate for the Crypto World Bank's explainability approach. By generating TreeSHAP feature attributions for every loan risk assessment, the system provides bank approvers with regulatorily-compliant, mathematically-grounded explanations that identify exactly which borrower characteristics drove the approval/rejection recommendation—enabling transparent lending decisions that build institutional trust and satisfy compliance obligations.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