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color w:val="64748B"/>
          <w:sz w:val="18"/>
        </w:rPr>
        <w:t>Md. Bokhtiar Rahman Juboraz (20301138)  |  Md. Mahir Ahnaf Ahmed (20301083)</w:t>
        <w:br/>
      </w:r>
      <w:r>
        <w:rPr>
          <w:color w:val="64748B"/>
          <w:sz w:val="18"/>
        </w:rPr>
        <w:t>Department of Computer Science and Engineering, Brac University</w:t>
        <w:br/>
      </w:r>
    </w:p>
    <w:p>
      <w:pPr>
        <w:spacing w:after="120"/>
        <w:jc w:val="center"/>
      </w:pPr>
      <w:r>
        <w:rPr>
          <w:b/>
          <w:color w:val="1A3C6E"/>
          <w:sz w:val="36"/>
        </w:rPr>
        <w:t>Literature Review: Paper 5</w:t>
      </w:r>
    </w:p>
    <w:p>
      <w:pPr>
        <w:spacing w:before="80"/>
      </w:pPr>
      <w:r>
        <w:rPr>
          <w:b/>
          <w:sz w:val="22"/>
        </w:rPr>
        <w:t xml:space="preserve">Paper Title: </w:t>
      </w:r>
      <w:r>
        <w:rPr>
          <w:sz w:val="22"/>
        </w:rPr>
        <w:t>From Rules to Rewards: Reinforcement Learning for Interest Rate Adjustment in DeFi Lending</w:t>
      </w:r>
    </w:p>
    <w:p>
      <w:pPr>
        <w:spacing w:before="80"/>
      </w:pPr>
      <w:r>
        <w:rPr>
          <w:b/>
          <w:sz w:val="22"/>
        </w:rPr>
        <w:t xml:space="preserve">Paper Link: </w:t>
      </w:r>
      <w:r>
        <w:rPr>
          <w:sz w:val="22"/>
        </w:rPr>
        <w:t>https://arxiv.org/html/2506.00505v1</w:t>
      </w:r>
    </w:p>
    <w:p>
      <w:pPr>
        <w:spacing w:before="80"/>
      </w:pPr>
      <w:r>
        <w:rPr>
          <w:b/>
          <w:sz w:val="22"/>
        </w:rPr>
        <w:t xml:space="preserve">Authors: </w:t>
      </w:r>
      <w:r>
        <w:rPr>
          <w:sz w:val="22"/>
        </w:rPr>
        <w:t>Hanxiao Qu, Krzysztof M. Gogol, Florian Grötschla, Claudio J. Tessone</w:t>
      </w:r>
    </w:p>
    <w:p>
      <w:pPr>
        <w:spacing w:before="80"/>
      </w:pPr>
      <w:r>
        <w:rPr>
          <w:b/>
          <w:sz w:val="22"/>
        </w:rPr>
        <w:t xml:space="preserve">Affiliation: </w:t>
      </w:r>
      <w:r>
        <w:rPr>
          <w:sz w:val="22"/>
        </w:rPr>
        <w:t>University of Zurich; ETH Zurich; UZH Blockchain Center</w:t>
      </w:r>
    </w:p>
    <w:p>
      <w:pPr>
        <w:spacing w:before="80"/>
      </w:pPr>
      <w:r>
        <w:rPr>
          <w:b/>
          <w:sz w:val="22"/>
        </w:rPr>
        <w:t xml:space="preserve">Contact Email: </w:t>
      </w:r>
      <w:r>
        <w:rPr>
          <w:sz w:val="22"/>
        </w:rPr>
        <w:t>gogol@ifi.uzh.ch</w:t>
      </w:r>
    </w:p>
    <w:p>
      <w:pPr>
        <w:spacing w:before="280"/>
      </w:pPr>
      <w:r>
        <w:rPr>
          <w:b/>
          <w:color w:val="1A3C6E"/>
          <w:sz w:val="24"/>
        </w:rPr>
        <w:t>Abstract:</w:t>
      </w:r>
    </w:p>
    <w:p>
      <w:pPr>
        <w:spacing w:before="40" w:after="80"/>
        <w:ind w:firstLine="709"/>
      </w:pPr>
      <w:r>
        <w:rPr>
          <w:sz w:val="22"/>
        </w:rPr>
        <w:t>DeFi lending enables permissionless borrowing via smart contracts but faces challenges in optimizing interest rates, mitigating bad debt, and improving capital efficiency. Rule-based interest-rate models struggle to adapt to dynamic market conditions. This work applies Offline Reinforcement Learning to optimize interest rate adjustments in DeFi lending using historical data from Aave protocol. Three RL approaches are evaluated: Conservative Q-Learning (CQL), Behavior Cloning (BC), and TD3 with Behavior Cloning (TD3-BC). TD3-BC demonstrates superior performance in balancing utilization, capital stability, and risk, adapting effectively to historical stress events like the May 2021 crash and March 2023 USDC depeg, showcasing potential for automated, real-time governance.</w:t>
      </w:r>
    </w:p>
    <w:p>
      <w:pPr>
        <w:spacing w:before="280"/>
      </w:pPr>
      <w:r>
        <w:rPr>
          <w:b/>
          <w:color w:val="1A3C6E"/>
          <w:sz w:val="24"/>
        </w:rPr>
        <w:t>Introduction:</w:t>
      </w:r>
    </w:p>
    <w:p>
      <w:pPr>
        <w:spacing w:before="40" w:after="80"/>
        <w:ind w:firstLine="709"/>
      </w:pPr>
      <w:r>
        <w:rPr>
          <w:sz w:val="22"/>
        </w:rPr>
        <w:t>DeFi lending accounts for 30–40% of Total Value Locked (TVL) in DeFi. By November 2021, Aave alone surpassed $25 billion in locked assets. However, major market disruptions—the Terra-LUNA collapse (May 2022) and FTX insolvency (November 2022)—triggered mass liquidity exits, exposing vulnerabilities in existing lending models during extreme volatility. Lending protocols rely on overcollateralization, where borrowers deposit assets worth more than the amount borrowed, creating capital inefficiency. Current interest rate models use a utilization rate model: R_b = r_base + U × slope_1 when U ≤ U*, and R_b = r_base + U* × slope_1 + (U − U*) × slope_2 when U &gt; U*, where U* is the optimal utilization rate (kink point). This static kink-based model cannot adapt to rapid market changes—protocol governance mechanisms relying on community voting proved too slow to respond, compounding liquidity crises.</w:t>
      </w:r>
    </w:p>
    <w:p>
      <w:pPr>
        <w:spacing w:before="280"/>
      </w:pPr>
      <w:r>
        <w:rPr>
          <w:b/>
          <w:color w:val="1A3C6E"/>
          <w:sz w:val="24"/>
        </w:rPr>
        <w:t>Motivation:</w:t>
      </w:r>
    </w:p>
    <w:p>
      <w:pPr>
        <w:spacing w:before="40" w:after="80"/>
        <w:ind w:firstLine="709"/>
      </w:pPr>
      <w:r>
        <w:rPr>
          <w:sz w:val="22"/>
        </w:rPr>
        <w:t>The limitations of existing rule-based DeFi lending models have driven growing interest in machine learning techniques to optimize interest rate mechanisms and improve risk management. Unlike traditional rule-based approaches, ML models can analyze historical market data, identify patterns, and dynamically adjust lending parameters in response to real-time market conditions. Among ML techniques, reinforcement learning is particularly well-suited for DeFi lending optimization because it allows an agent to learn from past market conditions and take actions that maximize long-term capital efficiency while minimizing risk exposure. The specific motivation is the observation that Aave's static interest rate curves fail during black swan events—the USDC depegging in March 2023 and cascading FTX contagion caused borrowers to face unexpected liquidation events and protocol governance was too slow to react.</w:t>
      </w:r>
    </w:p>
    <w:p>
      <w:pPr>
        <w:spacing w:before="280"/>
      </w:pPr>
      <w:r>
        <w:rPr>
          <w:b/>
          <w:color w:val="1A3C6E"/>
          <w:sz w:val="24"/>
        </w:rPr>
        <w:t>Methodology:</w:t>
      </w:r>
    </w:p>
    <w:p>
      <w:pPr>
        <w:spacing w:before="40" w:after="80"/>
        <w:ind w:firstLine="709"/>
      </w:pPr>
      <w:r>
        <w:rPr>
          <w:sz w:val="22"/>
        </w:rPr>
        <w:t xml:space="preserve">The RL problem is formulated as a Markov Decision Process ℳ = (𝒮, 𝒜, P, R, γ). The </w:t>
      </w:r>
      <w:r>
        <w:rPr>
          <w:b/>
          <w:sz w:val="22"/>
        </w:rPr>
        <w:t xml:space="preserve">state space </w:t>
      </w:r>
      <w:r>
        <w:rPr>
          <w:sz w:val="22"/>
        </w:rPr>
        <w:t xml:space="preserve"> S_t = {L_t, D_t, I_t, R_t} includes: liquidity metrics (available/total liquidity, liquidity used as collateral, utilization rate), debt and borrowing activity (total debt, variable debt, deposit/borrow volumes, deposit-borrow ratio), interest rate parameters (liquidity index, liquidity rate, variable borrow index, variable borrow rate, deposit yield), and market risk/volatility indicators (loan-to-value ratio, liquidity volatility, utilization rate volatility, momentum and volatility of liquidity and borrow rates). The </w:t>
      </w:r>
      <w:r>
        <w:rPr>
          <w:b/>
          <w:sz w:val="22"/>
        </w:rPr>
        <w:t xml:space="preserve">action space </w:t>
      </w:r>
      <w:r>
        <w:rPr>
          <w:sz w:val="22"/>
        </w:rPr>
        <w:t xml:space="preserve"> A_t = {Δr_t, Δb_t} represents changes in liquidity rate and variable borrow rate, using relative changes for numerical stability. The </w:t>
      </w:r>
      <w:r>
        <w:rPr>
          <w:b/>
          <w:sz w:val="22"/>
        </w:rPr>
        <w:t xml:space="preserve">reward function </w:t>
      </w:r>
      <w:r>
        <w:rPr>
          <w:sz w:val="22"/>
        </w:rPr>
        <w:t xml:space="preserve"> combines three components: (1) </w:t>
      </w:r>
      <w:r>
        <w:rPr>
          <w:b/>
          <w:sz w:val="22"/>
        </w:rPr>
        <w:t xml:space="preserve">Utilization Efficiency Penalty </w:t>
      </w:r>
      <w:r>
        <w:rPr>
          <w:sz w:val="22"/>
        </w:rPr>
        <w:t xml:space="preserve">: R_u = −α(U_t − U*)² penalizing deviation from optimal utilization; (2) </w:t>
      </w:r>
      <w:r>
        <w:rPr>
          <w:b/>
          <w:sz w:val="22"/>
        </w:rPr>
        <w:t xml:space="preserve">Borrowing Cost Minimization vs. Lender Return </w:t>
      </w:r>
      <w:r>
        <w:rPr>
          <w:sz w:val="22"/>
        </w:rPr>
        <w:t xml:space="preserve">: R_b = −βB_t + βλS_t balancing affordability for borrowers with competitive returns for lenders; (3) </w:t>
      </w:r>
      <w:r>
        <w:rPr>
          <w:b/>
          <w:sz w:val="22"/>
        </w:rPr>
        <w:t xml:space="preserve">Interest Rate Stability Penalty </w:t>
      </w:r>
      <w:r>
        <w:rPr>
          <w:sz w:val="22"/>
        </w:rPr>
        <w:t xml:space="preserve">: R_r = −γ((Δb_t)² + (Δr_t)²) discouraging excessive rate fluctuations. Three models are trained: </w:t>
      </w:r>
      <w:r>
        <w:rPr>
          <w:b/>
          <w:sz w:val="22"/>
        </w:rPr>
        <w:t xml:space="preserve">CQL </w:t>
      </w:r>
      <w:r>
        <w:rPr>
          <w:sz w:val="22"/>
        </w:rPr>
        <w:t xml:space="preserve"> modifies Q-learning with a conservative penalty J_CQL = E[Q(s,a)] − E_{s~D,a~π}[Q(s,a)] to prevent overestimated rewards; </w:t>
      </w:r>
      <w:r>
        <w:rPr>
          <w:b/>
          <w:sz w:val="22"/>
        </w:rPr>
        <w:t xml:space="preserve">BC </w:t>
      </w:r>
      <w:r>
        <w:rPr>
          <w:sz w:val="22"/>
        </w:rPr>
        <w:t xml:space="preserve"> uses supervised MSE loss L_BC = E[||π_θ(s) − a||²]; </w:t>
      </w:r>
      <w:r>
        <w:rPr>
          <w:b/>
          <w:sz w:val="22"/>
        </w:rPr>
        <w:t xml:space="preserve">TD3-BC </w:t>
      </w:r>
      <w:r>
        <w:rPr>
          <w:sz w:val="22"/>
        </w:rPr>
        <w:t xml:space="preserve"> combines deterministic policy gradient with behavior cloning via J_{TD3-BC} = J_{TD3} + λ·J_{BC}. Training uses Aave V2/V3 historical data for WBTC and WETH pools (March 2021–February 2025) on Ethereum, with 256-batch replay buffer sampling.</w:t>
      </w:r>
    </w:p>
    <w:p>
      <w:pPr>
        <w:spacing w:before="280"/>
      </w:pPr>
      <w:r>
        <w:rPr>
          <w:b/>
          <w:color w:val="1A3C6E"/>
          <w:sz w:val="24"/>
        </w:rPr>
        <w:t>Results and Discussion:</w:t>
      </w:r>
    </w:p>
    <w:p>
      <w:pPr>
        <w:spacing w:before="40" w:after="80"/>
        <w:ind w:firstLine="709"/>
      </w:pPr>
      <w:r>
        <w:rPr>
          <w:sz w:val="22"/>
        </w:rPr>
        <w:t xml:space="preserve">TD3-BC demonstrates the best overall performance across all evaluation criteria. During </w:t>
      </w:r>
      <w:r>
        <w:rPr>
          <w:b/>
          <w:sz w:val="22"/>
        </w:rPr>
        <w:t xml:space="preserve">normal market conditions </w:t>
      </w:r>
      <w:r>
        <w:rPr>
          <w:sz w:val="22"/>
        </w:rPr>
        <w:t xml:space="preserve">, TD3-BC maintains utilization within 2–3% of the optimal target while BC closely mimics historical Aave behavior and CQL produces overly conservative policies that sacrifice capital efficiency for safety. During </w:t>
      </w:r>
      <w:r>
        <w:rPr>
          <w:b/>
          <w:sz w:val="22"/>
        </w:rPr>
        <w:t xml:space="preserve">stress events </w:t>
      </w:r>
      <w:r>
        <w:rPr>
          <w:sz w:val="22"/>
        </w:rPr>
        <w:t>: in the May 2021 crash, TD3-BC rapidly adjusts rates to attract deposits and stabilize utilization, while static models and BC fail to react quickly enough; during the March 2023 USDC depeg, TD3-BC proactively increases borrowing costs to reduce risk exposure before utilization spikes, demonstrating anticipatory behavior learned from historical patterns; during the November 2022 FTX contagion period, TD3-BC balances competing objectives (maintaining liquidity while avoiding bad debt) more effectively than the other approaches. CQL's conservative penalty prevents overestimation but leads to suboptimal performance in stable periods. BC cannot improve upon historical Aave policies by definition—it can only replicate them.</w:t>
      </w:r>
    </w:p>
    <w:p>
      <w:pPr>
        <w:spacing w:before="280"/>
      </w:pPr>
      <w:r>
        <w:rPr>
          <w:b/>
          <w:color w:val="1A3C6E"/>
          <w:sz w:val="24"/>
        </w:rPr>
        <w:t>Conclusion:</w:t>
      </w:r>
    </w:p>
    <w:p>
      <w:pPr>
        <w:spacing w:before="40" w:after="80"/>
        <w:ind w:firstLine="709"/>
      </w:pPr>
      <w:r>
        <w:rPr>
          <w:sz w:val="22"/>
        </w:rPr>
        <w:t>RL-based interest rate optimization significantly outperforms rule-based approaches in DeFi lending, with TD3-BC providing the best balance of capital efficiency, risk mitigation, and stability. The three-component reward function design (utilization efficiency + borrowing cost balance + rate stability) provides a template for the Crypto World Bank's planned RL module. The finding that offline RL can learn effective policies from historical data without requiring a live simulation environment is directly applicable to the Crypto World Bank's development pipeline, where Aave/Compound historical data can be used to pre-train lending policy agents before deployment.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