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7</w:t>
      </w:r>
    </w:p>
    <w:p>
      <w:pPr>
        <w:spacing w:before="80"/>
      </w:pPr>
      <w:r>
        <w:rPr>
          <w:b/>
          <w:sz w:val="22"/>
        </w:rPr>
        <w:t xml:space="preserve">Paper Title: </w:t>
      </w:r>
      <w:r>
        <w:rPr>
          <w:sz w:val="22"/>
        </w:rPr>
        <w:t>Central Bank Digital Currency and Financial Inclusion</w:t>
      </w:r>
    </w:p>
    <w:p>
      <w:pPr>
        <w:spacing w:before="80"/>
      </w:pPr>
      <w:r>
        <w:rPr>
          <w:b/>
          <w:sz w:val="22"/>
        </w:rPr>
        <w:t xml:space="preserve">Paper Link: </w:t>
      </w:r>
      <w:r>
        <w:rPr>
          <w:sz w:val="22"/>
        </w:rPr>
        <w:t>https://www.imf.org/en/Publications/WP/Issues/2023/03/18/Central-Bank-Digital-Currency-and-Financial-Inclusion-531104</w:t>
      </w:r>
    </w:p>
    <w:p>
      <w:pPr>
        <w:spacing w:before="80"/>
      </w:pPr>
      <w:r>
        <w:rPr>
          <w:b/>
          <w:sz w:val="22"/>
        </w:rPr>
        <w:t xml:space="preserve">Authors: </w:t>
      </w:r>
      <w:r>
        <w:rPr>
          <w:sz w:val="22"/>
        </w:rPr>
        <w:t>Brandon Joel Tan</w:t>
      </w:r>
    </w:p>
    <w:p>
      <w:pPr>
        <w:spacing w:before="80"/>
      </w:pPr>
      <w:r>
        <w:rPr>
          <w:b/>
          <w:sz w:val="22"/>
        </w:rPr>
        <w:t xml:space="preserve">Affiliation: </w:t>
      </w:r>
      <w:r>
        <w:rPr>
          <w:sz w:val="22"/>
        </w:rPr>
        <w:t>International Monetary Fund (IMF)</w:t>
      </w:r>
    </w:p>
    <w:p>
      <w:pPr>
        <w:spacing w:before="80"/>
      </w:pPr>
      <w:r>
        <w:rPr>
          <w:b/>
          <w:sz w:val="22"/>
        </w:rPr>
        <w:t xml:space="preserve">DOI: </w:t>
      </w:r>
      <w:r>
        <w:rPr>
          <w:sz w:val="22"/>
        </w:rPr>
        <w:t>https://doi.org/10.5089/9798400238277.001</w:t>
      </w:r>
    </w:p>
    <w:p>
      <w:pPr>
        <w:spacing w:before="280"/>
      </w:pPr>
      <w:r>
        <w:rPr>
          <w:b/>
          <w:color w:val="1A3C6E"/>
          <w:sz w:val="24"/>
        </w:rPr>
        <w:t>Abstract:</w:t>
      </w:r>
    </w:p>
    <w:p>
      <w:pPr>
        <w:spacing w:before="40" w:after="80"/>
        <w:ind w:firstLine="709"/>
      </w:pPr>
      <w:r>
        <w:rPr>
          <w:sz w:val="22"/>
        </w:rPr>
        <w:t>This IMF working paper develops a model incorporating the impact of financial inclusion to study the implications of introducing a retail central bank digital currency (CBDC). CBDCs in developing countries have the potential to bank large unbanked populations and boost financial inclusion, which can increase overall lending and reduce bank disintermediation risks. The model captures two key channels: (1) CBDC issuance can increase bank deposits from the previously unbanked by incentivizing the opening of bank accounts for access to CBDC wallets; (2) data from CBDC usage allows building of credit to reduce credit-risk information asymmetry in lending. CBDC can still be optimal for household welfare even when overall lending decreases, as households benefit from payment utility, safe savings, and surplus from reduced information asymmetry.</w:t>
      </w:r>
    </w:p>
    <w:p>
      <w:pPr>
        <w:spacing w:before="280"/>
      </w:pPr>
      <w:r>
        <w:rPr>
          <w:b/>
          <w:color w:val="1A3C6E"/>
          <w:sz w:val="24"/>
        </w:rPr>
        <w:t>Introduction:</w:t>
      </w:r>
    </w:p>
    <w:p>
      <w:pPr>
        <w:spacing w:before="40" w:after="80"/>
        <w:ind w:firstLine="709"/>
      </w:pPr>
      <w:r>
        <w:rPr>
          <w:sz w:val="22"/>
        </w:rPr>
        <w:t>Central bank digital currencies represent a fundamental transformation in monetary infrastructure and have become the subject of intense study by central banks worldwide. Most countries are considering a "two-tier" CBDC model where central banks issue CBDC to commercial banks which in turn distribute them to consumers. This hierarchical distribution architecture mirrors traditional central banking structures and is directly paralleled by the Crypto World Bank's four-tier model. The paper addresses a critical question: whether CBDC introduction will disintermediate commercial banks (reducing deposits and lending) or whether the financial inclusion effects will dominate (increasing deposits from the previously unbanked and expanding lending through reduced information asymmetry).</w:t>
      </w:r>
    </w:p>
    <w:p>
      <w:pPr>
        <w:spacing w:before="280"/>
      </w:pPr>
      <w:r>
        <w:rPr>
          <w:b/>
          <w:color w:val="1A3C6E"/>
          <w:sz w:val="24"/>
        </w:rPr>
        <w:t>Motivation:</w:t>
      </w:r>
    </w:p>
    <w:p>
      <w:pPr>
        <w:spacing w:before="40" w:after="80"/>
        <w:ind w:firstLine="709"/>
      </w:pPr>
      <w:r>
        <w:rPr>
          <w:sz w:val="22"/>
        </w:rPr>
        <w:t>Developing countries have large unbanked populations lacking access to formal financial services. The World Bank estimates that 1.4 billion adults globally remain unbanked as of 2022. Traditional banking infrastructure is costly to deploy in rural and underserved areas. CBDCs offer a mechanism to reach these populations through digital infrastructure—mobile phones and digital wallets—with lower deployment costs than physical bank branches. However, policymakers face a dilemma: if CBDCs attract deposits away from commercial banks, the resulting disintermediation could reduce lending and economic growth. Understanding the conditions under which CBDCs enhance rather than diminish financial intermediation is critical for policy design.</w:t>
      </w:r>
    </w:p>
    <w:p>
      <w:pPr>
        <w:spacing w:before="280"/>
      </w:pPr>
      <w:r>
        <w:rPr>
          <w:b/>
          <w:color w:val="1A3C6E"/>
          <w:sz w:val="24"/>
        </w:rPr>
        <w:t>Methodology:</w:t>
      </w:r>
    </w:p>
    <w:p>
      <w:pPr>
        <w:spacing w:before="40" w:after="80"/>
        <w:ind w:firstLine="709"/>
      </w:pPr>
      <w:r>
        <w:rPr>
          <w:sz w:val="22"/>
        </w:rPr>
        <w:t xml:space="preserve">A </w:t>
      </w:r>
      <w:r>
        <w:rPr>
          <w:b/>
          <w:sz w:val="22"/>
        </w:rPr>
        <w:t xml:space="preserve">general equilibrium model </w:t>
      </w:r>
      <w:r>
        <w:rPr>
          <w:sz w:val="22"/>
        </w:rPr>
        <w:t xml:space="preserve"> is constructed with three agent types: (1) </w:t>
      </w:r>
      <w:r>
        <w:rPr>
          <w:b/>
          <w:sz w:val="22"/>
        </w:rPr>
        <w:t xml:space="preserve">heterogeneous households </w:t>
      </w:r>
      <w:r>
        <w:rPr>
          <w:sz w:val="22"/>
        </w:rPr>
        <w:t xml:space="preserve"> divided into "banked" (with existing bank accounts) and "unbanked" (without bank accounts), differentiated by wealth levels; (2) </w:t>
      </w:r>
      <w:r>
        <w:rPr>
          <w:b/>
          <w:sz w:val="22"/>
        </w:rPr>
        <w:t xml:space="preserve">commercial banks </w:t>
      </w:r>
      <w:r>
        <w:rPr>
          <w:sz w:val="22"/>
        </w:rPr>
        <w:t xml:space="preserve"> that accept deposits, issue loans, and distribute CBDC in the two-tier model; (3) </w:t>
      </w:r>
      <w:r>
        <w:rPr>
          <w:b/>
          <w:sz w:val="22"/>
        </w:rPr>
        <w:t xml:space="preserve">the central bank </w:t>
      </w:r>
      <w:r>
        <w:rPr>
          <w:sz w:val="22"/>
        </w:rPr>
        <w:t xml:space="preserve"> that issues CBDC and sets monetary parameters. The model captures two channels: </w:t>
      </w:r>
      <w:r>
        <w:rPr>
          <w:b/>
          <w:sz w:val="22"/>
        </w:rPr>
        <w:t xml:space="preserve">(a) Deposit Channel </w:t>
      </w:r>
      <w:r>
        <w:rPr>
          <w:sz w:val="22"/>
        </w:rPr>
        <w:t xml:space="preserve"> — CBDC incentivizes the unbanked to open bank accounts (required for CBDC wallet access in the two-tier model), creating new deposit flows that partially offset potential flows from existing deposits to CBDC holdings. The net deposit effect depends on the relative size and wealth of the unbanked population. </w:t>
      </w:r>
      <w:r>
        <w:rPr>
          <w:b/>
          <w:sz w:val="22"/>
        </w:rPr>
        <w:t xml:space="preserve">(b) Information Channel </w:t>
      </w:r>
      <w:r>
        <w:rPr>
          <w:sz w:val="22"/>
        </w:rPr>
        <w:t xml:space="preserve"> — transaction data generated by CBDC usage creates observable credit histories for previously unbanked individuals, reducing the credit-risk information asymmetry (adverse selection) that banks face when lending to these populations. Reduced information asymmetry lowers the risk premium banks charge, increasing lending volume. The model is solved for different parameter combinations: bank deposit liquidity risk, relative size and wealth of the unbanked population, household valuation of CBDC for payments, and CBDC design parameters (two-tier vs. non-bank distribution).</w:t>
      </w:r>
    </w:p>
    <w:p>
      <w:pPr>
        <w:spacing w:before="280"/>
      </w:pPr>
      <w:r>
        <w:rPr>
          <w:b/>
          <w:color w:val="1A3C6E"/>
          <w:sz w:val="24"/>
        </w:rPr>
        <w:t>Results and Discussion:</w:t>
      </w:r>
    </w:p>
    <w:p>
      <w:pPr>
        <w:spacing w:before="40" w:after="80"/>
        <w:ind w:firstLine="709"/>
      </w:pPr>
      <w:r>
        <w:rPr>
          <w:sz w:val="22"/>
        </w:rPr>
        <w:t>Three conditions determine whether CBDC increases overall lending: (1) bank deposit liquidity risk is low—if banks face high withdrawal risk, they cannot transform short-term deposits into long-term loans effectively; (2) the size and relative wealth of the previously unbanked population is large—providing a substantial new deposit base; (3) CBDC is valuable to households as a means of payment or for credit-building—incentivizing adoption. Even when overall lending decreases (the disintermediation effect dominates), CBDC can still improve household welfare because: households benefit from CBDC as a safe savings vehicle (avoiding physical cash risks), payment utility reduces transaction costs, and reduced credit-risk information asymmetry generates greater surplus in lending by matching creditworthy borrowers with lower interest rates. The two-tier model analysis shows that if non-bank payment providers can distribute CBDC, fewer funds flow into deposit accounts because bank accounts are no longer needed for CBDC access—but if CBDC data is shareable with banks, creditworthy unbanked individuals can still access lower interest rate loans.</w:t>
      </w:r>
    </w:p>
    <w:p>
      <w:pPr>
        <w:spacing w:before="280"/>
      </w:pPr>
      <w:r>
        <w:rPr>
          <w:b/>
          <w:color w:val="1A3C6E"/>
          <w:sz w:val="24"/>
        </w:rPr>
        <w:t>Conclusion:</w:t>
      </w:r>
    </w:p>
    <w:p>
      <w:pPr>
        <w:spacing w:before="40" w:after="80"/>
        <w:ind w:firstLine="709"/>
      </w:pPr>
      <w:r>
        <w:rPr>
          <w:sz w:val="22"/>
        </w:rPr>
        <w:t>The IMF's model validates the hierarchical distribution architecture central to the Crypto World Bank. The two-tier CBDC model (central bank → commercial banks → users) directly parallels the four-tier hierarchy (World Bank → National Banks → Local Banks → Borrowers), demonstrating that hierarchical digital currency distribution is the dominant institutional design for balancing financial inclusion with banking stability. The information channel—where transaction data reduces lending risk—aligns with the Crypto World Bank's AI/ML risk assessment layer, which analyzes on-chain transaction data to build borrower credit profiles and reduce information asymmetry.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