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9</w:t>
      </w:r>
    </w:p>
    <w:p>
      <w:pPr>
        <w:spacing w:before="80"/>
      </w:pPr>
      <w:r>
        <w:rPr>
          <w:b/>
          <w:sz w:val="22"/>
        </w:rPr>
        <w:t xml:space="preserve">Paper Title: </w:t>
      </w:r>
      <w:r>
        <w:rPr>
          <w:sz w:val="22"/>
        </w:rPr>
        <w:t>An Evaluation System for DeFi Lending Protocols</w:t>
      </w:r>
    </w:p>
    <w:p>
      <w:pPr>
        <w:spacing w:before="80"/>
      </w:pPr>
      <w:r>
        <w:rPr>
          <w:b/>
          <w:sz w:val="22"/>
        </w:rPr>
        <w:t xml:space="preserve">Paper Link: </w:t>
      </w:r>
      <w:r>
        <w:rPr>
          <w:sz w:val="22"/>
        </w:rPr>
        <w:t>https://ieeexplore.ieee.org/document/10240601/</w:t>
      </w:r>
    </w:p>
    <w:p>
      <w:pPr>
        <w:spacing w:before="80"/>
      </w:pPr>
      <w:r>
        <w:rPr>
          <w:b/>
          <w:sz w:val="22"/>
        </w:rPr>
        <w:t xml:space="preserve">Authors: </w:t>
      </w:r>
      <w:r>
        <w:rPr>
          <w:sz w:val="22"/>
        </w:rPr>
        <w:t>IEEE Conference Publication</w:t>
      </w:r>
    </w:p>
    <w:p>
      <w:pPr>
        <w:spacing w:before="80"/>
      </w:pPr>
      <w:r>
        <w:rPr>
          <w:b/>
          <w:sz w:val="22"/>
        </w:rPr>
        <w:t xml:space="preserve">Affiliation: </w:t>
      </w:r>
      <w:r>
        <w:rPr>
          <w:sz w:val="22"/>
        </w:rPr>
        <w:t>IEEE</w:t>
      </w:r>
    </w:p>
    <w:p>
      <w:pPr>
        <w:spacing w:before="80"/>
      </w:pPr>
      <w:r>
        <w:rPr>
          <w:b/>
          <w:sz w:val="22"/>
        </w:rPr>
        <w:t xml:space="preserve">Source: </w:t>
      </w:r>
      <w:r>
        <w:rPr>
          <w:sz w:val="22"/>
        </w:rPr>
        <w:t>IEEE Xplore, 2023</w:t>
      </w:r>
    </w:p>
    <w:p>
      <w:pPr>
        <w:spacing w:before="280"/>
      </w:pPr>
      <w:r>
        <w:rPr>
          <w:b/>
          <w:color w:val="1A3C6E"/>
          <w:sz w:val="24"/>
        </w:rPr>
        <w:t>Abstract:</w:t>
      </w:r>
    </w:p>
    <w:p>
      <w:pPr>
        <w:spacing w:before="40" w:after="80"/>
        <w:ind w:firstLine="709"/>
      </w:pPr>
      <w:r>
        <w:rPr>
          <w:sz w:val="22"/>
        </w:rPr>
        <w:t>This IEEE conference paper presents a systematic evaluation framework for assessing DeFi lending protocols across multiple dimensions including capital efficiency, risk management, governance quality, and protocol sustainability. The framework provides standardized metrics for comparing protocols like Aave, Compound, and Maker, addressing the lack of formal evaluation methodologies in the rapidly growing DeFi lending ecosystem.</w:t>
      </w:r>
    </w:p>
    <w:p>
      <w:pPr>
        <w:spacing w:before="280"/>
      </w:pPr>
      <w:r>
        <w:rPr>
          <w:b/>
          <w:color w:val="1A3C6E"/>
          <w:sz w:val="24"/>
        </w:rPr>
        <w:t>Introduction:</w:t>
      </w:r>
    </w:p>
    <w:p>
      <w:pPr>
        <w:spacing w:before="40" w:after="80"/>
        <w:ind w:firstLine="709"/>
      </w:pPr>
      <w:r>
        <w:rPr>
          <w:sz w:val="22"/>
        </w:rPr>
        <w:t>The rapid proliferation of DeFi lending protocols—with over 200 active lending platforms as of 2023—has created an urgent need for standardized evaluation methodologies. Unlike traditional finance where regulatory bodies (OCC, FDIC, FSA) assess institutional soundness through stress tests and capital adequacy requirements, DeFi protocols lack formal evaluation frameworks. Users and researchers compare protocols using ad-hoc metrics like Total Value Locked (TVL) or Annual Percentage Yield (APY), which do not capture the full risk-return profile. This paper addresses this gap by proposing a multi-dimensional evaluation system grounded in both DeFi-native metrics and adapted traditional finance measures.</w:t>
      </w:r>
    </w:p>
    <w:p>
      <w:pPr>
        <w:spacing w:before="280"/>
      </w:pPr>
      <w:r>
        <w:rPr>
          <w:b/>
          <w:color w:val="1A3C6E"/>
          <w:sz w:val="24"/>
        </w:rPr>
        <w:t>Motivation:</w:t>
      </w:r>
    </w:p>
    <w:p>
      <w:pPr>
        <w:spacing w:before="40" w:after="80"/>
        <w:ind w:firstLine="709"/>
      </w:pPr>
      <w:r>
        <w:rPr>
          <w:sz w:val="22"/>
        </w:rPr>
        <w:t>Existing DeFi protocol analyses are often ad-hoc, focusing on single metrics without systematic coverage of the protocol's full operational profile. TVL can be misleading—a protocol with high TVL may have poor capital efficiency, excessive governance concentration, or hidden smart contract risks. Similarly, high APY may indicate unsustainable tokenomics rather than genuine yield. Protocol risks—including smart contract vulnerabilities, governance attacks (flash loan voting), oracle manipulation, and liquidity crises—are not uniformly assessed across platforms, making comparative analysis unreliable for both users and researchers.</w:t>
      </w:r>
    </w:p>
    <w:p>
      <w:pPr>
        <w:spacing w:before="280"/>
      </w:pPr>
      <w:r>
        <w:rPr>
          <w:b/>
          <w:color w:val="1A3C6E"/>
          <w:sz w:val="24"/>
        </w:rPr>
        <w:t>Methodology:</w:t>
      </w:r>
    </w:p>
    <w:p>
      <w:pPr>
        <w:spacing w:before="40" w:after="80"/>
        <w:ind w:firstLine="709"/>
      </w:pPr>
      <w:r>
        <w:rPr>
          <w:sz w:val="22"/>
        </w:rPr>
        <w:t xml:space="preserve">The evaluation system encompasses four dimensions, each with specific quantitative metrics: </w:t>
      </w:r>
      <w:r>
        <w:rPr>
          <w:b/>
          <w:sz w:val="22"/>
        </w:rPr>
        <w:t xml:space="preserve">(1) Capital Efficiency </w:t>
      </w:r>
      <w:r>
        <w:rPr>
          <w:sz w:val="22"/>
        </w:rPr>
        <w:t xml:space="preserve"> — utilization rate (borrowed/supplied), capital turnover ratio, reserve factor optimization, idle capital percentage, and effective yield spread (difference between borrow and supply APY). </w:t>
      </w:r>
      <w:r>
        <w:rPr>
          <w:b/>
          <w:sz w:val="22"/>
        </w:rPr>
        <w:t xml:space="preserve">(2) Risk Management </w:t>
      </w:r>
      <w:r>
        <w:rPr>
          <w:sz w:val="22"/>
        </w:rPr>
        <w:t xml:space="preserve"> — liquidation efficiency (percentage of under-collateralized positions successfully liquidated), bad debt exposure (value of positions where collateral &lt; debt), oracle dependency score (number and diversity of oracle sources), time-to-liquidation (latency between health factor breach and liquidation execution), and historical drawdown analysis. </w:t>
      </w:r>
      <w:r>
        <w:rPr>
          <w:b/>
          <w:sz w:val="22"/>
        </w:rPr>
        <w:t xml:space="preserve">(3) Governance Quality </w:t>
      </w:r>
      <w:r>
        <w:rPr>
          <w:sz w:val="22"/>
        </w:rPr>
        <w:t xml:space="preserve"> — decentralization score (Gini coefficient of governance token distribution), proposal-to-execution time, voter participation rate, upgrade mechanism security (timelock durations, multi-sig requirements), and emergency response capability. </w:t>
      </w:r>
      <w:r>
        <w:rPr>
          <w:b/>
          <w:sz w:val="22"/>
        </w:rPr>
        <w:t xml:space="preserve">(4) Sustainability </w:t>
      </w:r>
      <w:r>
        <w:rPr>
          <w:sz w:val="22"/>
        </w:rPr>
        <w:t xml:space="preserve"> — fee revenue relative to emissions, token emission schedule sustainability, user growth rate, cross-protocol integration depth, and developer activity metrics. Each dimension produces a normalized score (0–100), and composite ratings are generated using configurable dimension weights.</w:t>
      </w:r>
    </w:p>
    <w:p>
      <w:pPr>
        <w:spacing w:before="280"/>
      </w:pPr>
      <w:r>
        <w:rPr>
          <w:b/>
          <w:color w:val="1A3C6E"/>
          <w:sz w:val="24"/>
        </w:rPr>
        <w:t>Results and Discussion:</w:t>
      </w:r>
    </w:p>
    <w:p>
      <w:pPr>
        <w:spacing w:before="40" w:after="80"/>
        <w:ind w:firstLine="709"/>
      </w:pPr>
      <w:r>
        <w:rPr>
          <w:sz w:val="22"/>
        </w:rPr>
        <w:t>Application of the framework to major protocols (Aave V3, Compound V3, MakerDAO) reveals several findings: (1) higher capital efficiency strongly correlates with higher risk exposure—protocols that aggressively optimize utilization face greater liquidation failure risk during market crashes; (2) protocols with more decentralized governance (higher voter participation, lower token concentration) tend to adapt slower to market changes but exhibit greater resilience to single-point-of-failure attacks and governance manipulation; (3) oracle dependency is a systemic risk factor—protocols relying on a single oracle source score significantly lower in risk management; (4) fee revenue sustainability varies dramatically, with some protocols relying heavily on token emissions rather than organic fee generation. The framework successfully identified Aave V3 as having the strongest risk management profile while Compound V3 exhibited higher capital efficiency.</w:t>
      </w:r>
    </w:p>
    <w:p>
      <w:pPr>
        <w:spacing w:before="280"/>
      </w:pPr>
      <w:r>
        <w:rPr>
          <w:b/>
          <w:color w:val="1A3C6E"/>
          <w:sz w:val="24"/>
        </w:rPr>
        <w:t>Conclusion:</w:t>
      </w:r>
    </w:p>
    <w:p>
      <w:pPr>
        <w:spacing w:before="40" w:after="80"/>
        <w:ind w:firstLine="709"/>
      </w:pPr>
      <w:r>
        <w:rPr>
          <w:sz w:val="22"/>
        </w:rPr>
        <w:t>A systematic evaluation framework is essential for the maturing DeFi ecosystem, enabling informed protocol comparison beyond simple TVL or APY metrics. The Crypto World Bank's design explicitly addresses the trade-offs identified: balancing capital efficiency with risk management through AI/ML-augmented decision-making (rather than relying solely on liquidation mechanisms), maintaining governance through a structured multi-tier hierarchy with defined roles and accountability, and ensuring sustainability through fee-based revenue rather than token emissions.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