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10</w:t>
      </w:r>
    </w:p>
    <w:p>
      <w:pPr>
        <w:spacing w:before="80"/>
      </w:pPr>
      <w:r>
        <w:rPr>
          <w:b/>
          <w:sz w:val="22"/>
        </w:rPr>
        <w:t xml:space="preserve">Paper Title: </w:t>
      </w:r>
      <w:r>
        <w:rPr>
          <w:sz w:val="22"/>
        </w:rPr>
        <w:t>SoK: Decentralized Finance (DeFi)</w:t>
      </w:r>
    </w:p>
    <w:p>
      <w:pPr>
        <w:spacing w:before="80"/>
      </w:pPr>
      <w:r>
        <w:rPr>
          <w:b/>
          <w:sz w:val="22"/>
        </w:rPr>
        <w:t xml:space="preserve">Paper Link: </w:t>
      </w:r>
      <w:r>
        <w:rPr>
          <w:sz w:val="22"/>
        </w:rPr>
        <w:t>https://arxiv.org/abs/2101.08778</w:t>
      </w:r>
    </w:p>
    <w:p>
      <w:pPr>
        <w:spacing w:before="80"/>
      </w:pPr>
      <w:r>
        <w:rPr>
          <w:b/>
          <w:sz w:val="22"/>
        </w:rPr>
        <w:t xml:space="preserve">Authors: </w:t>
      </w:r>
      <w:r>
        <w:rPr>
          <w:sz w:val="22"/>
        </w:rPr>
        <w:t>Sam M. Werner, Daniel Perez, Lewis Gudgeon, Ariah Klages-Mundt, Dominik Harz, William J. Knottenbelt</w:t>
      </w:r>
    </w:p>
    <w:p>
      <w:pPr>
        <w:spacing w:before="80"/>
      </w:pPr>
      <w:r>
        <w:rPr>
          <w:b/>
          <w:sz w:val="22"/>
        </w:rPr>
        <w:t xml:space="preserve">Affiliation: </w:t>
      </w:r>
      <w:r>
        <w:rPr>
          <w:sz w:val="22"/>
        </w:rPr>
        <w:t>Imperial College London, UK</w:t>
      </w:r>
    </w:p>
    <w:p>
      <w:pPr>
        <w:spacing w:before="80"/>
      </w:pPr>
      <w:r>
        <w:rPr>
          <w:b/>
          <w:sz w:val="22"/>
        </w:rPr>
        <w:t xml:space="preserve">Contact Email: </w:t>
      </w:r>
      <w:r>
        <w:rPr>
          <w:sz w:val="22"/>
        </w:rPr>
        <w:t>s.werner@imperial.ac.uk</w:t>
      </w:r>
    </w:p>
    <w:p>
      <w:pPr>
        <w:spacing w:before="280"/>
      </w:pPr>
      <w:r>
        <w:rPr>
          <w:b/>
          <w:color w:val="1A3C6E"/>
          <w:sz w:val="24"/>
        </w:rPr>
        <w:t>Abstract:</w:t>
      </w:r>
    </w:p>
    <w:p>
      <w:pPr>
        <w:spacing w:before="40" w:after="80"/>
        <w:ind w:firstLine="709"/>
      </w:pPr>
      <w:r>
        <w:rPr>
          <w:sz w:val="22"/>
        </w:rPr>
        <w:t>This paper provides a systematization of knowledge (SoK) across DeFi protocols including lending, decentralized exchanges, derivatives, and asset management. It identifies that DeFi lending is predominantly over-collateralized and pool-based, lacking institutional hierarchy. The paper catalogs risks including smart contract vulnerabilities, oracle failures, governance attacks, flash loan exploits, and composability risks, and establishes a comprehensive reference framework for DeFi research and development.</w:t>
      </w:r>
    </w:p>
    <w:p>
      <w:pPr>
        <w:spacing w:before="280"/>
      </w:pPr>
      <w:r>
        <w:rPr>
          <w:b/>
          <w:color w:val="1A3C6E"/>
          <w:sz w:val="24"/>
        </w:rPr>
        <w:t>Introduction:</w:t>
      </w:r>
    </w:p>
    <w:p>
      <w:pPr>
        <w:spacing w:before="40" w:after="80"/>
        <w:ind w:firstLine="709"/>
      </w:pPr>
      <w:r>
        <w:rPr>
          <w:sz w:val="22"/>
        </w:rPr>
        <w:t>DeFi has experienced explosive growth, with total value locked exceeding $100 billion at peak. The ecosystem spans multiple protocol types—lending (Aave, Compound, Maker), exchanges (Uniswap, SushiSwap, Curve), derivatives (Synthetix, dYdX), and asset management (Yearn Finance)—each with distinct mechanisms, risk profiles, and governance structures. Despite this growth, the DeFi space lacks systematic academic treatment: research is fragmented across individual protocols and mechanisms, making it difficult to understand cross-protocol interactions, systemic risks, and design patterns. This SoK paper organizes existing knowledge from over 150 academic papers and protocol documentation into a unified framework.</w:t>
      </w:r>
    </w:p>
    <w:p>
      <w:pPr>
        <w:spacing w:before="280"/>
      </w:pPr>
      <w:r>
        <w:rPr>
          <w:b/>
          <w:color w:val="1A3C6E"/>
          <w:sz w:val="24"/>
        </w:rPr>
        <w:t>Motivation:</w:t>
      </w:r>
    </w:p>
    <w:p>
      <w:pPr>
        <w:spacing w:before="40" w:after="80"/>
        <w:ind w:firstLine="709"/>
      </w:pPr>
      <w:r>
        <w:rPr>
          <w:sz w:val="22"/>
        </w:rPr>
        <w:t>The rapid pace of DeFi innovation creates a knowledge gap between practitioners and researchers. Protocol composability—the ability to combine multiple DeFi protocols in a single transaction—creates emergent behaviors and risks not present in individual protocols. Flash loan attacks demonstrate that composability, while powerful, enables novel attack vectors: a single transaction can simultaneously borrow millions without collateral, manipulate oracle prices, exploit protocol vulnerabilities, and repay the loan—all atomically. Understanding these systemic interactions requires a comprehensive framework that treats DeFi as an interconnected ecosystem rather than isolated protocols.</w:t>
      </w:r>
    </w:p>
    <w:p>
      <w:pPr>
        <w:spacing w:before="280"/>
      </w:pPr>
      <w:r>
        <w:rPr>
          <w:b/>
          <w:color w:val="1A3C6E"/>
          <w:sz w:val="24"/>
        </w:rPr>
        <w:t>Methodology:</w:t>
      </w:r>
    </w:p>
    <w:p>
      <w:pPr>
        <w:spacing w:before="40" w:after="80"/>
        <w:ind w:firstLine="709"/>
      </w:pPr>
      <w:r>
        <w:rPr>
          <w:sz w:val="22"/>
        </w:rPr>
        <w:t xml:space="preserve">The systematization surveys DeFi protocols across four major categories, analyzing each for: </w:t>
      </w:r>
      <w:r>
        <w:rPr>
          <w:b/>
          <w:sz w:val="22"/>
        </w:rPr>
        <w:t xml:space="preserve">(a) Mechanism Design </w:t>
      </w:r>
      <w:r>
        <w:rPr>
          <w:sz w:val="22"/>
        </w:rPr>
        <w:t xml:space="preserve"> — how the protocol's core logic operates (e.g., constant product market makers for exchanges, utilization-based interest rate curves for lending, collateral-debt positions for stablecoins); </w:t>
      </w:r>
      <w:r>
        <w:rPr>
          <w:b/>
          <w:sz w:val="22"/>
        </w:rPr>
        <w:t xml:space="preserve">(b) Risk Profile </w:t>
      </w:r>
      <w:r>
        <w:rPr>
          <w:sz w:val="22"/>
        </w:rPr>
        <w:t xml:space="preserve"> — categorized into smart contract risk (code bugs, logic errors), oracle risk (price feed manipulation, stale data), governance risk (token concentration, flash loan voting), economic risk (bank-run dynamics, liquidation cascades), and composability risk (cross-protocol attack vectors); </w:t>
      </w:r>
      <w:r>
        <w:rPr>
          <w:b/>
          <w:sz w:val="22"/>
        </w:rPr>
        <w:t xml:space="preserve">(c) Governance Structures </w:t>
      </w:r>
      <w:r>
        <w:rPr>
          <w:sz w:val="22"/>
        </w:rPr>
        <w:t xml:space="preserve"> — on-chain voting mechanisms, timelock implementations, multi-sig controls, and emergency shutdown capabilities; </w:t>
      </w:r>
      <w:r>
        <w:rPr>
          <w:b/>
          <w:sz w:val="22"/>
        </w:rPr>
        <w:t xml:space="preserve">(d) Cross-Protocol Dependencies </w:t>
      </w:r>
      <w:r>
        <w:rPr>
          <w:sz w:val="22"/>
        </w:rPr>
        <w:t xml:space="preserve"> — how protocols depend on each other (e.g., Maker depends on Uniswap/Chainlink for oracle prices, Yearn depends on Aave/Compound for yield generation). The taxonomy is developed inductively from analysis of 50+ active protocols and 100+ documented exploits.</w:t>
      </w:r>
    </w:p>
    <w:p>
      <w:pPr>
        <w:spacing w:before="280"/>
      </w:pPr>
      <w:r>
        <w:rPr>
          <w:b/>
          <w:color w:val="1A3C6E"/>
          <w:sz w:val="24"/>
        </w:rPr>
        <w:t>Results and Discussion:</w:t>
      </w:r>
    </w:p>
    <w:p>
      <w:pPr>
        <w:spacing w:before="40" w:after="80"/>
        <w:ind w:firstLine="709"/>
      </w:pPr>
      <w:r>
        <w:rPr>
          <w:sz w:val="22"/>
        </w:rPr>
        <w:t xml:space="preserve">Key findings of the systematization include: (1) </w:t>
      </w:r>
      <w:r>
        <w:rPr>
          <w:b/>
          <w:sz w:val="22"/>
        </w:rPr>
        <w:t xml:space="preserve">DeFi lending is uniformly pool-based and over-collateralized with no institutional hierarchy </w:t>
      </w:r>
      <w:r>
        <w:rPr>
          <w:sz w:val="22"/>
        </w:rPr>
        <w:t xml:space="preserve">—every existing protocol operates a flat pool where any address can deposit or borrow, with no tiered structure resembling traditional banking (World Bank → National Banks → Local Banks); (2) </w:t>
      </w:r>
      <w:r>
        <w:rPr>
          <w:b/>
          <w:sz w:val="22"/>
        </w:rPr>
        <w:t xml:space="preserve">flash loan attacks </w:t>
      </w:r>
      <w:r>
        <w:rPr>
          <w:sz w:val="22"/>
        </w:rPr>
        <w:t xml:space="preserve"> exploit composability across protocols—documented attacks total over $1 billion in losses; (3) </w:t>
      </w:r>
      <w:r>
        <w:rPr>
          <w:b/>
          <w:sz w:val="22"/>
        </w:rPr>
        <w:t xml:space="preserve">oracle dependencies </w:t>
      </w:r>
      <w:r>
        <w:rPr>
          <w:sz w:val="22"/>
        </w:rPr>
        <w:t xml:space="preserve"> create systemic risk, with Chainlink serving as a single point of dependency for the majority of DeFi protocols; (4) </w:t>
      </w:r>
      <w:r>
        <w:rPr>
          <w:b/>
          <w:sz w:val="22"/>
        </w:rPr>
        <w:t xml:space="preserve">governance token concentration </w:t>
      </w:r>
      <w:r>
        <w:rPr>
          <w:sz w:val="22"/>
        </w:rPr>
        <w:t xml:space="preserve"> undermines decentralization claims—in several major protocols, fewer than 10 addresses control majority voting power; (5) </w:t>
      </w:r>
      <w:r>
        <w:rPr>
          <w:b/>
          <w:sz w:val="22"/>
        </w:rPr>
        <w:t xml:space="preserve">liquidation cascades </w:t>
      </w:r>
      <w:r>
        <w:rPr>
          <w:sz w:val="22"/>
        </w:rPr>
        <w:t xml:space="preserve"> during market crashes (March 2020 "Black Thursday") revealed that protocol mechanisms can amplify rather than dampen market volatility. The paper identifies that no existing DeFi lending protocol implements hierarchical institutional structures, tiered capital flow, or AI-augmented risk assessment—these are novel design features.</w:t>
      </w:r>
    </w:p>
    <w:p>
      <w:pPr>
        <w:spacing w:before="280"/>
      </w:pPr>
      <w:r>
        <w:rPr>
          <w:b/>
          <w:color w:val="1A3C6E"/>
          <w:sz w:val="24"/>
        </w:rPr>
        <w:t>Conclusion:</w:t>
      </w:r>
    </w:p>
    <w:p>
      <w:pPr>
        <w:spacing w:before="40" w:after="80"/>
        <w:ind w:firstLine="709"/>
      </w:pPr>
      <w:r>
        <w:rPr>
          <w:sz w:val="22"/>
        </w:rPr>
        <w:t>The SoK paper provides the definitive academic reference for DeFi protocol design and risk analysis. The gap it identifies—the complete absence of hierarchical institutional models in DeFi lending—is the foundational motivation for the Crypto World Bank. By implementing a World Bank → National Bank → Local Bank → Borrower hierarchy on-chain with role-based access control and AI/ML risk assessment, the Crypto World Bank addresses a structural limitation that this comprehensive survey identifies across the entire DeFi ecosystem.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