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6294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1020"/>
          <w:sz w:val="19"/>
          <w:szCs w:val="19"/>
        </w:rPr>
        <w:t xml:space="preserve">Reproducing and improving a CVPR 2025 query-based transformer for pixel-level surface defect detection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A93AE"/>
          <w:sz w:val="15"/>
          <w:szCs w:val="15"/>
        </w:rPr>
        <w:t xml:space="preserve">Yuvraj Singh  ·  Nishkarsh Khandelwal  ·  Darrsheni Sapovadia      —      Computer Vision and Deep Learning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FA8"/>
                <w:sz w:val="32"/>
                <w:szCs w:val="32"/>
              </w:rPr>
              <w:t xml:space="preserve">6</w:t>
            </w:r>
          </w:p>
          <w:p>
            <w:pPr>
              <w:spacing w:before="10"/>
              <w:jc w:val="center"/>
            </w:pPr>
            <w:r>
              <w:rPr>
                <w:rFonts w:ascii="Calibri" w:cs="Calibri" w:eastAsia="Calibri" w:hAnsi="Calibri"/>
                <w:color w:val="5A6486"/>
                <w:sz w:val="14"/>
                <w:szCs w:val="14"/>
              </w:rPr>
              <w:t xml:space="preserve">configurations trained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4"/>
                <w:sz w:val="32"/>
                <w:szCs w:val="32"/>
              </w:rPr>
              <w:t xml:space="preserve">0.7511</w:t>
            </w:r>
          </w:p>
          <w:p>
            <w:pPr>
              <w:spacing w:before="10"/>
              <w:jc w:val="center"/>
            </w:pPr>
            <w:r>
              <w:rPr>
                <w:rFonts w:ascii="Calibri" w:cs="Calibri" w:eastAsia="Calibri" w:hAnsi="Calibri"/>
                <w:color w:val="5A6486"/>
                <w:sz w:val="14"/>
                <w:szCs w:val="14"/>
              </w:rPr>
              <w:t xml:space="preserve">best weighted F-measure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4"/>
                <w:sz w:val="32"/>
                <w:szCs w:val="32"/>
              </w:rPr>
              <w:t xml:space="preserve">+1.64%</w:t>
            </w:r>
          </w:p>
          <w:p>
            <w:pPr>
              <w:spacing w:before="10"/>
              <w:jc w:val="center"/>
            </w:pPr>
            <w:r>
              <w:rPr>
                <w:rFonts w:ascii="Calibri" w:cs="Calibri" w:eastAsia="Calibri" w:hAnsi="Calibri"/>
                <w:color w:val="5A6486"/>
                <w:sz w:val="14"/>
                <w:szCs w:val="14"/>
              </w:rPr>
              <w:t xml:space="preserve">over our own baseline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32"/>
                <w:szCs w:val="32"/>
              </w:rPr>
              <w:t xml:space="preserve">21 h</w:t>
            </w:r>
          </w:p>
          <w:p>
            <w:pPr>
              <w:spacing w:before="10"/>
              <w:jc w:val="center"/>
            </w:pPr>
            <w:r>
              <w:rPr>
                <w:rFonts w:ascii="Calibri" w:cs="Calibri" w:eastAsia="Calibri" w:hAnsi="Calibri"/>
                <w:color w:val="5A6486"/>
                <w:sz w:val="14"/>
                <w:szCs w:val="14"/>
              </w:rPr>
              <w:t xml:space="preserve">total GPU time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distT="0" distB="0" distL="0" distR="0">
            <wp:extent cx="440055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Calibri" w:cs="Calibri" w:eastAsia="Calibri" w:hAnsi="Calibri"/>
          <w:i/>
          <w:iCs/>
          <w:color w:val="8A93AE"/>
          <w:sz w:val="13"/>
          <w:szCs w:val="13"/>
        </w:rPr>
        <w:t xml:space="preserve">Sixteen learnable queries, refined in the wavelet and spatial domains. Our winning change replaces only the encoder.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0B1020"/>
          <w:sz w:val="19"/>
          <w:szCs w:val="19"/>
        </w:rPr>
        <w:t xml:space="preserve">Every heuristic, measured one at a time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4000"/>
        <w:gridCol w:w="1200"/>
        <w:gridCol w:w="1200"/>
        <w:gridCol w:w="11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What changed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wFβ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Δ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Δ %</w:t>
            </w:r>
          </w:p>
        </w:tc>
      </w:tr>
      <w:tr>
        <w:tc>
          <w:tcPr>
            <w:tcW w:type="dxa" w:w="19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15"/>
                <w:szCs w:val="15"/>
              </w:rPr>
              <w:t xml:space="preserve">baseline</w:t>
            </w:r>
          </w:p>
        </w:tc>
        <w:tc>
          <w:tcPr>
            <w:tcW w:type="dxa" w:w="40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paper recipe (PVTv2-B2)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86"/>
                <w:sz w:val="15"/>
                <w:szCs w:val="15"/>
              </w:rPr>
              <w:t xml:space="preserve">.7390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—</w:t>
            </w:r>
          </w:p>
        </w:tc>
        <w:tc>
          <w:tcPr>
            <w:tcW w:type="dxa" w:w="114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86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shd w:fill="EAF7E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15"/>
                <w:szCs w:val="15"/>
              </w:rPr>
              <w:t xml:space="preserve">backbone</w:t>
            </w:r>
          </w:p>
        </w:tc>
        <w:tc>
          <w:tcPr>
            <w:tcW w:type="dxa" w:w="40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shd w:fill="EAF7E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PVTv2-B2 → B4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shd w:fill="EAF7E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4"/>
                <w:sz w:val="15"/>
                <w:szCs w:val="15"/>
              </w:rPr>
              <w:t xml:space="preserve">.7511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shd w:fill="EAF7E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7A44"/>
                <w:sz w:val="15"/>
                <w:szCs w:val="15"/>
              </w:rPr>
              <w:t xml:space="preserve">+.0121</w:t>
            </w:r>
          </w:p>
        </w:tc>
        <w:tc>
          <w:tcPr>
            <w:tcW w:type="dxa" w:w="114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shd w:fill="EAF7E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44"/>
                <w:sz w:val="15"/>
                <w:szCs w:val="15"/>
              </w:rPr>
              <w:t xml:space="preserve">+1.64%</w:t>
            </w:r>
          </w:p>
        </w:tc>
      </w:tr>
      <w:tr>
        <w:tc>
          <w:tcPr>
            <w:tcW w:type="dxa" w:w="19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15"/>
                <w:szCs w:val="15"/>
              </w:rPr>
              <w:t xml:space="preserve">ema</w:t>
            </w:r>
          </w:p>
        </w:tc>
        <w:tc>
          <w:tcPr>
            <w:tcW w:type="dxa" w:w="40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averaged weights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86"/>
                <w:sz w:val="15"/>
                <w:szCs w:val="15"/>
              </w:rPr>
              <w:t xml:space="preserve">.7364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−.0026</w:t>
            </w:r>
          </w:p>
        </w:tc>
        <w:tc>
          <w:tcPr>
            <w:tcW w:type="dxa" w:w="114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86"/>
                <w:sz w:val="15"/>
                <w:szCs w:val="15"/>
              </w:rPr>
              <w:t xml:space="preserve">−0.35%</w:t>
            </w:r>
          </w:p>
        </w:tc>
      </w:tr>
      <w:tr>
        <w:tc>
          <w:tcPr>
            <w:tcW w:type="dxa" w:w="19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15"/>
                <w:szCs w:val="15"/>
              </w:rPr>
              <w:t xml:space="preserve">loss_only</w:t>
            </w:r>
          </w:p>
        </w:tc>
        <w:tc>
          <w:tcPr>
            <w:tcW w:type="dxa" w:w="40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boundary-weighted loss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A3A"/>
                <w:sz w:val="15"/>
                <w:szCs w:val="15"/>
              </w:rPr>
              <w:t xml:space="preserve">.7317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03A3A"/>
                <w:sz w:val="15"/>
                <w:szCs w:val="15"/>
              </w:rPr>
              <w:t xml:space="preserve">−.0073</w:t>
            </w:r>
          </w:p>
        </w:tc>
        <w:tc>
          <w:tcPr>
            <w:tcW w:type="dxa" w:w="114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A3A"/>
                <w:sz w:val="15"/>
                <w:szCs w:val="15"/>
              </w:rPr>
              <w:t xml:space="preserve">−0.99%</w:t>
            </w:r>
          </w:p>
        </w:tc>
      </w:tr>
      <w:tr>
        <w:tc>
          <w:tcPr>
            <w:tcW w:type="dxa" w:w="19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15"/>
                <w:szCs w:val="15"/>
              </w:rPr>
              <w:t xml:space="preserve">loss</w:t>
            </w:r>
          </w:p>
        </w:tc>
        <w:tc>
          <w:tcPr>
            <w:tcW w:type="dxa" w:w="40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loss + supervision reweighting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A3A"/>
                <w:sz w:val="15"/>
                <w:szCs w:val="15"/>
              </w:rPr>
              <w:t xml:space="preserve">.7286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03A3A"/>
                <w:sz w:val="15"/>
                <w:szCs w:val="15"/>
              </w:rPr>
              <w:t xml:space="preserve">−.0104</w:t>
            </w:r>
          </w:p>
        </w:tc>
        <w:tc>
          <w:tcPr>
            <w:tcW w:type="dxa" w:w="114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A3A"/>
                <w:sz w:val="15"/>
                <w:szCs w:val="15"/>
              </w:rPr>
              <w:t xml:space="preserve">−1.41%</w:t>
            </w:r>
          </w:p>
        </w:tc>
      </w:tr>
      <w:tr>
        <w:tc>
          <w:tcPr>
            <w:tcW w:type="dxa" w:w="19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15"/>
                <w:szCs w:val="15"/>
              </w:rPr>
              <w:t xml:space="preserve">aug</w:t>
            </w:r>
          </w:p>
        </w:tc>
        <w:tc>
          <w:tcPr>
            <w:tcW w:type="dxa" w:w="40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86"/>
                <w:sz w:val="15"/>
                <w:szCs w:val="15"/>
              </w:rPr>
              <w:t xml:space="preserve">vflip, rot90, colour jitter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A3A"/>
                <w:sz w:val="15"/>
                <w:szCs w:val="15"/>
              </w:rPr>
              <w:t xml:space="preserve">.7111</w:t>
            </w:r>
          </w:p>
        </w:tc>
        <w:tc>
          <w:tcPr>
            <w:tcW w:type="dxa" w:w="120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03A3A"/>
                <w:sz w:val="15"/>
                <w:szCs w:val="15"/>
              </w:rPr>
              <w:t xml:space="preserve">−.0279</w:t>
            </w:r>
          </w:p>
        </w:tc>
        <w:tc>
          <w:tcPr>
            <w:tcW w:type="dxa" w:w="1140"/>
            <w:tcBorders>
              <w:top w:val="single" w:color="D8DEEC" w:sz="2"/>
              <w:left w:val="none" w:color="FFFFFF" w:sz="0"/>
              <w:bottom w:val="single" w:color="D8DE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A3A"/>
                <w:sz w:val="15"/>
                <w:szCs w:val="15"/>
              </w:rPr>
              <w:t xml:space="preserve">−3.78%</w:t>
            </w:r>
          </w:p>
        </w:tc>
      </w:tr>
    </w:tbl>
    <w:p>
      <w:pPr>
        <w:spacing w:after="120" w:before="70"/>
        <w:jc w:val="left"/>
      </w:pPr>
      <w:r>
        <w:rPr>
          <w:rFonts w:ascii="Calibri" w:cs="Calibri" w:eastAsia="Calibri" w:hAnsi="Calibri"/>
          <w:b/>
          <w:bCs/>
          <w:color w:val="B03A3A"/>
          <w:sz w:val="15"/>
          <w:szCs w:val="15"/>
        </w:rPr>
        <w:t xml:space="preserve">Four of the five heuristics made the model worse. </w:t>
      </w:r>
      <w:r>
        <w:rPr>
          <w:rFonts w:ascii="Calibri" w:cs="Calibri" w:eastAsia="Calibri" w:hAnsi="Calibri"/>
          <w:color w:val="5A6486"/>
          <w:sz w:val="15"/>
          <w:szCs w:val="15"/>
        </w:rPr>
        <w:t xml:space="preserve">Only added capacity helped. Every run peaked in its final three epochs, so nothing converged — a regulariser is charged its cost at once and repays it only near convergence. Test-time augmentation degraded in proportion to how many averaged views the model had never been trained on, and was neutral once restricted to views it had seen.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30"/>
        <w:gridCol w:w="180"/>
        <w:gridCol w:w="5130"/>
      </w:tblGrid>
      <w:tr>
        <w:tc>
          <w:tcPr>
            <w:tcW w:type="dxa" w:w="5130"/>
            <w:tcBorders>
              <w:top w:val="single" w:color="0B1020" w:sz="10"/>
              <w:left w:val="single" w:color="0B1020" w:sz="10"/>
              <w:bottom w:val="single" w:color="0B1020" w:sz="10"/>
              <w:right w:val="single" w:color="0B1020" w:sz="10"/>
            </w:tcBorders>
            <w:shd w:fill="F4F6FB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020"/>
                <w:sz w:val="23"/>
                <w:szCs w:val="23"/>
              </w:rPr>
              <w:t xml:space="preserve">GitHub repository</w:t>
            </w:r>
          </w:p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color w:val="5A6486"/>
                <w:sz w:val="14"/>
                <w:szCs w:val="14"/>
              </w:rPr>
              <w:t xml:space="preserve">code · notebooks · report · results · logs</w:t>
            </w:r>
          </w:p>
          <w:p>
            <w:pPr>
              <w:jc w:val="center"/>
            </w:pPr>
            <w:hyperlink w:history="1" r:id="rId9zudvxx11xnj717eud3nl">
              <w:r>
                <w:rPr>
                  <w:rFonts w:ascii="Calibri" w:cs="Calibri" w:eastAsia="Calibri" w:hAnsi="Calibri"/>
                  <w:color w:val="1B7FA8"/>
                  <w:sz w:val="12"/>
                  <w:szCs w:val="12"/>
                  <w:u w:val="single"/>
                </w:rPr>
                <w:t xml:space="preserve">https://github.com/Yuvraj0208/WPFormer-Surface-Defect-D…</w:t>
              </w:r>
            </w:hyperlink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30"/>
            <w:tcBorders>
              <w:top w:val="single" w:color="1B7FA8" w:sz="10"/>
              <w:left w:val="single" w:color="1B7FA8" w:sz="10"/>
              <w:bottom w:val="single" w:color="1B7FA8" w:sz="10"/>
              <w:right w:val="single" w:color="1B7FA8" w:sz="10"/>
            </w:tcBorders>
            <w:shd w:fill="F4F6FB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FA8"/>
                <w:sz w:val="23"/>
                <w:szCs w:val="23"/>
              </w:rPr>
              <w:t xml:space="preserve">Run it on Colab</w:t>
            </w:r>
          </w:p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color w:val="5A6486"/>
                <w:sz w:val="14"/>
                <w:szCs w:val="14"/>
              </w:rPr>
              <w:t xml:space="preserve">one click, no local setup</w:t>
            </w:r>
          </w:p>
          <w:p>
            <w:pPr>
              <w:jc w:val="center"/>
            </w:pPr>
            <w:hyperlink w:history="1" r:id="rId5ooa8lu_yfoagqlnzr81g">
              <w:r>
                <w:rPr>
                  <w:rFonts w:ascii="Calibri" w:cs="Calibri" w:eastAsia="Calibri" w:hAnsi="Calibri"/>
                  <w:color w:val="1B7FA8"/>
                  <w:sz w:val="12"/>
                  <w:szCs w:val="12"/>
                  <w:u w:val="single"/>
                </w:rPr>
                <w:t xml:space="preserve">https://colab.research.google.com/github/Yuvraj0208/WPF…</w:t>
              </w:r>
            </w:hyperlink>
          </w:p>
        </w:tc>
      </w:tr>
    </w:tbl>
    <w:p>
      <w:pPr>
        <w:pBdr>
          <w:top w:val="single" w:color="D8DEEC" w:sz="6" w:space="8"/>
        </w:pBdr>
        <w:spacing w:after="40" w:before="130"/>
      </w:pPr>
    </w:p>
    <w:p>
      <w:pPr>
        <w:jc w:val="center"/>
      </w:pPr>
      <w:r>
        <w:rPr>
          <w:rFonts w:ascii="Calibri" w:cs="Calibri" w:eastAsia="Calibri" w:hAnsi="Calibri"/>
          <w:color w:val="8A93AE"/>
          <w:sz w:val="13"/>
          <w:szCs w:val="13"/>
        </w:rPr>
        <w:t xml:space="preserve">PVTv2 backbone  ·  FPN  ·  16 queries  ·  wavelet and prototype cross-attention  ·  CrackSeg9k 7243 / 395  ·  384 × 384  ·  single NVIDIA T4</w:t>
      </w:r>
    </w:p>
    <w:sectPr>
      <w:pgSz w:w="12240" w:h="15840" w:orient="portrait"/>
      <w:pgMar w:top="62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zudvxx11xnj717eud3nl" Type="http://schemas.openxmlformats.org/officeDocument/2006/relationships/hyperlink" Target="https://github.com/Yuvraj0208/WPFormer-Surface-Defect-Detection" TargetMode="External"/><Relationship Id="rId5ooa8lu_yfoagqlnzr81g" Type="http://schemas.openxmlformats.org/officeDocument/2006/relationships/hyperlink" Target="https://colab.research.google.com/github/Yuvraj0208/WPFormer-Surface-Defect-Detection/blob/main/notebooks/02_improvements_ablation.ipynb" TargetMode="External"/><Relationship Id="rId7" Type="http://schemas.openxmlformats.org/officeDocument/2006/relationships/image" Target="media/dfc27708ad4e7dedbd2d2da6a72c38b015c1fd85.png"/><Relationship Id="rId8" Type="http://schemas.openxmlformats.org/officeDocument/2006/relationships/image" Target="media/c3770c94982bd0197f4145e878ef1ebdd9cb8603.png"/><Relationship Id="rId9" Type="http://schemas.openxmlformats.org/officeDocument/2006/relationships/image" Target="media/48f8da5e41481006f139e19bc07506e607baede4.png"/><Relationship Id="rId10" Type="http://schemas.openxmlformats.org/officeDocument/2006/relationships/image" Target="media/52267b46e5e65ca812af778e49679929f9cfc52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WPFormer - Surface Defect Detection</dc:title>
  <dc:creator>Yuvraj Singh</dc:creator>
  <cp:lastModifiedBy>Un-named</cp:lastModifiedBy>
  <cp:revision>1</cp:revision>
  <dcterms:created xsi:type="dcterms:W3CDTF">2026-08-19T18:13:04.943Z</dcterms:created>
  <dcterms:modified xsi:type="dcterms:W3CDTF">2026-08-19T18:13:04.946Z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