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Software Requirements Specification (Excerpt)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Problem Statement #53 — Freelance Content Creator Escrow Platform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Lab 1: Requirements Engineering &amp; UML Use-Case Modelling — PES University, Dept. of CSE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Stakeholders / Actors: </w:t>
      </w:r>
      <w:r>
        <w:rPr>
          <w:sz w:val="20"/>
          <w:szCs w:val="20"/>
        </w:rPr>
        <w:t xml:space="preserve">Content Creator, Client Sponsor, Payment Gateway (external system).</w:t>
      </w:r>
    </w:p>
    <w:tbl>
      <w:tblPr>
        <w:tblW w:type="dxa" w:w="1484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3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1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creators to submit draft media deliverables for client review and release locked milestone payments upon sponsor approval sign-off.</w:t>
            </w:r>
          </w:p>
        </w:tc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Milestone is marked ‘Completed’ and funds are credited to the creator’s balance only after sponsor sign-off is recorded.
Fail: Funds are released without a recorded sponsor sign-off.</w:t>
            </w:r>
          </w:p>
        </w:tc>
        <w:tc>
          <w:tcPr>
            <w:tcW w:type="dxa" w:w="25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escrow guarantee that protects both creator and sponsor.</w:t>
            </w:r>
          </w:p>
        </w:tc>
        <w:tc>
          <w:tcPr>
            <w:tcW w:type="dxa" w:w="184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Given</w:t>
            </w:r>
          </w:p>
        </w:tc>
      </w:tr>
      <w:tr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creator and sponsor to jointly define a milestone, specifying a deliverable description, due date, and escrowed payment amount before work begins.</w:t>
            </w:r>
          </w:p>
        </w:tc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milestone cannot be activated unless description, due date, and payment amount are all populated and the escrow amount is confirmed as reserved.
Fail: A milestone is created/activated with any of the three fields missing or with funds not reserved.</w:t>
            </w:r>
          </w:p>
        </w:tc>
        <w:tc>
          <w:tcPr>
            <w:tcW w:type="dxa" w:w="25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Ambiguous or unfunded milestones are the leading cause of freelance payment disputes.</w:t>
            </w:r>
          </w:p>
        </w:tc>
        <w:tc>
          <w:tcPr>
            <w:tcW w:type="dxa" w:w="184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apply a visible watermark to every draft media asset (image or video) at the moment it is uploaded, before it becomes visible to the client sponsor.</w:t>
            </w:r>
          </w:p>
        </w:tc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100% of sampled draft uploads in test show the watermark on the first frame/image before the ‘Review’ status is set.
Fail: Any draft is visible to the sponsor without a watermark applied.</w:t>
            </w:r>
          </w:p>
        </w:tc>
        <w:tc>
          <w:tcPr>
            <w:tcW w:type="dxa" w:w="25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Protects the creator’s unpaid work from being used or redistributed before payment.</w:t>
            </w:r>
          </w:p>
        </w:tc>
        <w:tc>
          <w:tcPr>
            <w:tcW w:type="dxa" w:w="184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client sponsor to request revisions on a submitted draft by entering mandatory comments, which resets the milestone status to ‘In Revision’ and notifies the creator.</w:t>
            </w:r>
          </w:p>
        </w:tc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Selecting ‘Request Revision’ without entering comment text is blocked; on valid submission the milestone status changes to ‘In Revision’ and the creator receives a notification within 60 s.
Fail: Status does not change, or creator is not notified within 60 s.</w:t>
            </w:r>
          </w:p>
        </w:tc>
        <w:tc>
          <w:tcPr>
            <w:tcW w:type="dxa" w:w="25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Gives sponsors a structured way to reject work without cancelling the contract.</w:t>
            </w:r>
          </w:p>
        </w:tc>
        <w:tc>
          <w:tcPr>
            <w:tcW w:type="dxa" w:w="184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8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provide the creator with a real-time dashboard showing the status (Pending / In Review / In Revision / Approved / Paid) and escrowed amount of every milestone across all active contracts.</w:t>
            </w:r>
          </w:p>
        </w:tc>
        <w:tc>
          <w:tcPr>
            <w:tcW w:type="dxa" w:w="9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Any status change made by a sponsor or the system is reflected on the creator’s dashboard within 5 s without a manual page refresh.
Fail: A status change is not reflected within 5 s, or requires a manual refresh.</w:t>
            </w:r>
          </w:p>
        </w:tc>
        <w:tc>
          <w:tcPr>
            <w:tcW w:type="dxa" w:w="250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Reduces support requests and builds creator trust in the escrow process.</w:t>
            </w:r>
          </w:p>
        </w:tc>
        <w:tc>
          <w:tcPr>
            <w:tcW w:type="dxa" w:w="1840"/>
            <w:shd w:fill="EAF2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— Performance &amp; Security</w:t>
            </w:r>
          </w:p>
        </w:tc>
        <w:tc>
          <w:tcPr>
            <w:tcW w:type="dxa" w:w="38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Uploaded media drafts must complete automated watermark processing in under 5 seconds for image previews and under 5 seconds to begin a watermarked video preview stream.</w:t>
            </w:r>
          </w:p>
        </w:tc>
        <w:tc>
          <w:tcPr>
            <w:tcW w:type="dxa" w:w="9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Benchmark tests across 100 sample uploads (peak simulated load) confirm 95th-percentile watermarking latency &lt; 5 s.
Fail: 95th-percentile latency ≥ 5 s under the same test.</w:t>
            </w:r>
          </w:p>
        </w:tc>
        <w:tc>
          <w:tcPr>
            <w:tcW w:type="dxa" w:w="25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 processing delays sponsor review and stalls the payment cycle.</w:t>
            </w:r>
          </w:p>
        </w:tc>
        <w:tc>
          <w:tcPr>
            <w:tcW w:type="dxa" w:w="184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Given</w:t>
            </w:r>
          </w:p>
        </w:tc>
      </w:tr>
      <w:tr>
        <w:tc>
          <w:tcPr>
            <w:tcW w:type="dxa" w:w="9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— Security &amp; Compliance</w:t>
            </w:r>
          </w:p>
        </w:tc>
        <w:tc>
          <w:tcPr>
            <w:tcW w:type="dxa" w:w="38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escrow fund transactions and stored payment details shall be transmitted over TLS 1.2+ encrypted channels and stored in a manner compliant with PCI-DSS; no raw card/bank data may be persisted in application databases.</w:t>
            </w:r>
          </w:p>
        </w:tc>
        <w:tc>
          <w:tcPr>
            <w:tcW w:type="dxa" w:w="9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third-party security audit / penetration test confirms TLS 1.2+ on all payment endpoints and no plaintext or unmasked payment data in the database.
Fail: Any payment endpoint negotiates below TLS 1.2, or unmasked payment data is found at rest.</w:t>
            </w:r>
          </w:p>
        </w:tc>
        <w:tc>
          <w:tcPr>
            <w:tcW w:type="dxa" w:w="250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and legal exposure from a payment data breach would be severe; compliance is a baseline trust requirement for an escrow platform.</w:t>
            </w:r>
          </w:p>
        </w:tc>
        <w:tc>
          <w:tcPr>
            <w:tcW w:type="dxa" w:w="1840"/>
            <w:shd w:fill="FFF4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sz w:val="16"/>
          <w:szCs w:val="16"/>
        </w:rPr>
        <w:t xml:space="preserve">Note: FR-001 and NFR-001 were provided in the problem statement; FR-002–FR-005 and NFR-002 were authored to satisfy the scenario's remaining functional and nonfunctional needs.</w:t>
      </w:r>
    </w:p>
    <w:sectPr>
      <w:pgSz w:w="15840" w:h="12240" w:orient="landscape"/>
      <w:pgMar w:top="640" w:right="500" w:bottom="64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2026-09-27T17:23:55.042Z</dcterms:created>
  <dcterms:modified xsi:type="dcterms:W3CDTF">2026-09-27T17:23:55.042Z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