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2A4A"/>
          <w:sz w:val="60"/>
          <w:szCs w:val="60"/>
        </w:rPr>
        <w:t xml:space="preserve">PIXEL-SRISHTI</w:t>
      </w:r>
    </w:p>
    <w:p>
      <w:pPr>
        <w:spacing w:after="200"/>
        <w:jc w:val="center"/>
      </w:pPr>
      <w:r>
        <w:rPr>
          <w:b/>
          <w:bCs/>
          <w:color w:val="0E7C7B"/>
          <w:sz w:val="24"/>
          <w:szCs w:val="24"/>
        </w:rPr>
        <w:t xml:space="preserve">Agentic Vision-Language Intelligence for Multimodal Remote Sensing &amp; Watershed Development</w:t>
      </w:r>
    </w:p>
    <w:p>
      <w:pPr>
        <w:spacing w:after="60" w:before="400"/>
        <w:jc w:val="center"/>
      </w:pPr>
      <w:r>
        <w:rPr>
          <w:color w:val="5A5A5A"/>
          <w:sz w:val="22"/>
          <w:szCs w:val="22"/>
        </w:rPr>
        <w:t xml:space="preserve">Product Requirement Document — v2.0 (Optimized)</w:t>
      </w:r>
    </w:p>
    <w:p>
      <w:pPr>
        <w:spacing w:after="40"/>
        <w:jc w:val="center"/>
      </w:pPr>
      <w:r>
        <w:rPr>
          <w:b/>
          <w:bCs/>
          <w:color w:val="5A5A5A"/>
          <w:sz w:val="22"/>
          <w:szCs w:val="22"/>
        </w:rPr>
        <w:t xml:space="preserve">Team: JALDI THE LATE</w:t>
      </w:r>
    </w:p>
    <w:p>
      <w:pPr>
        <w:spacing w:after="40"/>
        <w:jc w:val="center"/>
      </w:pPr>
      <w:r>
        <w:rPr>
          <w:color w:val="5A5A5A"/>
          <w:sz w:val="21"/>
          <w:szCs w:val="21"/>
        </w:rPr>
        <w:t xml:space="preserve">Theme: Space Technology &amp; Disaster Management (Geospatial Analysis)</w:t>
      </w:r>
    </w:p>
    <w:p>
      <w:pPr>
        <w:spacing w:after="40"/>
        <w:jc w:val="center"/>
      </w:pPr>
      <w:r>
        <w:rPr>
          <w:color w:val="5A5A5A"/>
          <w:sz w:val="21"/>
          <w:szCs w:val="21"/>
        </w:rPr>
        <w:t xml:space="preserve">Converged Problem Statements: SIH26167 (ISRO) + SIH26015 (MoRD / DoLR)</w:t>
      </w:r>
    </w:p>
    <w:p>
      <w:pPr>
        <w:spacing w:after="800"/>
        <w:jc w:val="center"/>
      </w:pPr>
      <w:r>
        <w:rPr>
          <w:i/>
          <w:iCs/>
          <w:color w:val="5A5A5A"/>
          <w:sz w:val="21"/>
          <w:szCs w:val="21"/>
        </w:rPr>
        <w:t xml:space="preserve">Target Deployment: Smart India Hackathon 2026</w:t>
      </w:r>
    </w:p>
    <w:p>
      <w:r>
        <w:br w:type="page"/>
      </w:r>
    </w:p>
    <w:p>
      <w:pPr>
        <w:pStyle w:val="Heading1"/>
        <w:pBdr>
          <w:bottom w:val="single" w:color="0E7C7B" w:sz="6" w:space="4"/>
        </w:pBdr>
        <w:spacing w:after="200" w:before="400"/>
      </w:pPr>
      <w:r>
        <w:rPr>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6" w:space="4"/>
        </w:pBdr>
        <w:spacing w:after="200" w:before="400"/>
      </w:pPr>
      <w:r>
        <w:rPr>
          <w:b/>
          <w:bCs/>
          <w:color w:val="1B2A4A"/>
          <w:sz w:val="30"/>
          <w:szCs w:val="30"/>
        </w:rPr>
        <w:t xml:space="preserve">1. Executive Summary &amp; Convergence Strategy</w:t>
      </w:r>
    </w:p>
    <w:p>
      <w:pPr>
        <w:spacing w:after="160" w:line="276"/>
      </w:pPr>
      <w:r>
        <w:rPr>
          <w:color w:val="222222"/>
          <w:sz w:val="21"/>
          <w:szCs w:val="21"/>
        </w:rPr>
        <w:t xml:space="preserve">PIXEL-Srishti is a strategic convergence of ISRO's SatQuery AI (PS ID 26167) and the Ministry of Rural Development's Watershed Development monitoring initiative (PS ID 26015). Rather than treating these as two separate builds, PIXEL-Srishti uses one agentic, vision-language backbone as the engine and points it at two paying customers: a national space agency that needs rigorous multimodal benchmarks satisfied, and a rural development department that needs field-usable, low-bandwidth insight from the SRISHTI-DRISHTI 30m platform.</w:t>
      </w:r>
    </w:p>
    <w:p>
      <w:pPr>
        <w:spacing w:after="160" w:line="276"/>
      </w:pPr>
      <w:r>
        <w:rPr>
          <w:color w:val="222222"/>
          <w:sz w:val="21"/>
          <w:szCs w:val="21"/>
        </w:rPr>
        <w:t xml:space="preserve">The core bet: both problem statements are, underneath the jargon, the same technical challenge — turning geo-coded/satellite imagery into structured, queryable, evidence-grounded answers. PS26167 defines the hard AI core (agentic VQA, grounding, change detection, optical-SAR fusion). PS26015 defines a concrete, high-impact deployment surface (watershed monitoring for DoLR field officers) that showcases the same core under real operational constraints — sparse connectivity, non-expert users, and administrative accountability.</w:t>
      </w:r>
    </w:p>
    <w:p>
      <w:pPr>
        <w:spacing w:after="160" w:line="276"/>
      </w:pPr>
      <w:r>
        <w:rPr>
          <w:color w:val="222222"/>
          <w:sz w:val="21"/>
          <w:szCs w:val="21"/>
        </w:rPr>
        <w:t xml:space="preserve">This convergence is also a strategic scoring advantage: judges evaluating PS26167 will see a live, non-benchmark use case beyond academic datasets; judges anchored on PS26015's watershed outcomes will see a technically rigorous, ISRO-grade AI core rather than a simple GIS dashboard.</w:t>
      </w:r>
    </w:p>
    <w:p>
      <w:pPr>
        <w:pStyle w:val="Heading1"/>
        <w:pBdr>
          <w:bottom w:val="single" w:color="0E7C7B" w:sz="6" w:space="4"/>
        </w:pBdr>
        <w:spacing w:after="200" w:before="400"/>
      </w:pPr>
      <w:r>
        <w:rPr>
          <w:b/>
          <w:bCs/>
          <w:color w:val="1B2A4A"/>
          <w:sz w:val="30"/>
          <w:szCs w:val="30"/>
        </w:rPr>
        <w:t xml:space="preserve">2. Problem Statement Analysis — What's Broken Today</w:t>
      </w:r>
    </w:p>
    <w:p>
      <w:pPr>
        <w:pStyle w:val="Heading2"/>
        <w:spacing w:after="120" w:before="300"/>
      </w:pPr>
      <w:r>
        <w:rPr>
          <w:b/>
          <w:bCs/>
          <w:color w:val="0E7C7B"/>
          <w:sz w:val="24"/>
          <w:szCs w:val="24"/>
        </w:rPr>
        <w:t xml:space="preserve">2.1 SIH26167 — SatQuery AI (ISRO)</w:t>
      </w:r>
    </w:p>
    <w:p>
      <w:pPr>
        <w:spacing w:after="160" w:line="276"/>
      </w:pPr>
      <w:r>
        <w:rPr>
          <w:color w:val="222222"/>
          <w:sz w:val="21"/>
          <w:szCs w:val="21"/>
        </w:rPr>
        <w:t xml:space="preserve">Current remote-sensing AI tools are built as single-task silos (one model for classification, another for VQA, another for change detection), forcing non-expert users to understand GIS workflows, sensor characteristics, and model selection just to ask a simple question of a satellite image. Generic LLMs/VLMs, without domain adaptation, cannot reliably reason over multispectral or SAR imagery or fuse information across time and sensor type.</w:t>
      </w:r>
    </w:p>
    <w:p>
      <w:pPr>
        <w:spacing w:after="120"/>
      </w:pPr>
      <w:r>
        <w:rPr>
          <w:b/>
          <w:bCs/>
          <w:color w:val="1B2A4A"/>
          <w:sz w:val="21"/>
          <w:szCs w:val="21"/>
        </w:rPr>
        <w:t xml:space="preserve">Core gap: </w:t>
      </w:r>
      <w:r>
        <w:rPr>
          <w:sz w:val="21"/>
          <w:szCs w:val="21"/>
        </w:rPr>
        <w:t xml:space="preserve">no unified, agentic interface that routes a single natural-language query across single-image, bi-temporal, and cross-modal (optical+SAR) reasoning while remaining auditable enough for institutional (ISRO/SAC) evaluation.</w:t>
      </w:r>
    </w:p>
    <w:p>
      <w:pPr>
        <w:pStyle w:val="Heading2"/>
        <w:spacing w:after="120" w:before="300"/>
      </w:pPr>
      <w:r>
        <w:rPr>
          <w:b/>
          <w:bCs/>
          <w:color w:val="0E7C7B"/>
          <w:sz w:val="24"/>
          <w:szCs w:val="24"/>
        </w:rPr>
        <w:t xml:space="preserve">2.2 SIH26015 — Watershed Geospatial Visualization (MoRD/DoLR)</w:t>
      </w:r>
    </w:p>
    <w:p>
      <w:pPr>
        <w:spacing w:after="160" w:line="276"/>
      </w:pPr>
      <w:r>
        <w:rPr>
          <w:color w:val="222222"/>
          <w:sz w:val="21"/>
          <w:szCs w:val="21"/>
        </w:rPr>
        <w:t xml:space="preserve">Watershed programs generate large volumes of geo-tagged field photographs, but these are used almost exclusively for documentation, not analysis. Monitoring relies on manual field surveys that are slow, inconsistent, and spatially incomplete. There is no standardized way to fuse field-level geo-coded images with SRISHTI-DRISHTI's 30m satellite layers to produce thematic, decision-ready maps (land use, drainage, vegetation, intervention impact).</w:t>
      </w:r>
    </w:p>
    <w:p>
      <w:pPr>
        <w:spacing w:after="200"/>
      </w:pPr>
      <w:r>
        <w:rPr>
          <w:b/>
          <w:bCs/>
          <w:color w:val="1B2A4A"/>
          <w:sz w:val="21"/>
          <w:szCs w:val="21"/>
        </w:rPr>
        <w:t xml:space="preserve">Core gap: </w:t>
      </w:r>
      <w:r>
        <w:rPr>
          <w:sz w:val="21"/>
          <w:szCs w:val="21"/>
        </w:rPr>
        <w:t xml:space="preserve">no scalable analytical bridge between ground-truth photos and satellite-derived thematic layers — planners cannot easily answer "what changed, where, and did the intervention work?"</w:t>
      </w:r>
    </w:p>
    <w:p>
      <w:pPr>
        <w:pStyle w:val="Heading2"/>
        <w:spacing w:after="120" w:before="300"/>
      </w:pPr>
      <w:r>
        <w:rPr>
          <w:b/>
          <w:bCs/>
          <w:color w:val="0E7C7B"/>
          <w:sz w:val="24"/>
          <w:szCs w:val="24"/>
        </w:rPr>
        <w:t xml:space="preserve">2.3 Gap-to-Solution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Dimension</w:t>
            </w:r>
          </w:p>
        </w:tc>
        <w:tc>
          <w:tcPr>
            <w:tcW w:type="dxa" w:w="3600"/>
            <w:shd w:fill="1B2A4A" w:val="clear"/>
            <w:tcMar>
              <w:top w:type="dxa" w:w="100"/>
              <w:left w:type="dxa" w:w="120"/>
              <w:bottom w:type="dxa" w:w="100"/>
              <w:right w:type="dxa" w:w="120"/>
            </w:tcMar>
            <w:vAlign w:val="center"/>
          </w:tcPr>
          <w:p>
            <w:r>
              <w:rPr>
                <w:b/>
                <w:bCs/>
                <w:color w:val="FFFFFF"/>
                <w:sz w:val="19"/>
                <w:szCs w:val="19"/>
              </w:rPr>
              <w:t xml:space="preserve">Gap in Existing Approach</w:t>
            </w:r>
          </w:p>
        </w:tc>
        <w:tc>
          <w:tcPr>
            <w:tcW w:type="dxa" w:w="3600"/>
            <w:shd w:fill="1B2A4A" w:val="clear"/>
            <w:tcMar>
              <w:top w:type="dxa" w:w="100"/>
              <w:left w:type="dxa" w:w="120"/>
              <w:bottom w:type="dxa" w:w="100"/>
              <w:right w:type="dxa" w:w="120"/>
            </w:tcMar>
            <w:vAlign w:val="center"/>
          </w:tcPr>
          <w:p>
            <w:r>
              <w:rPr>
                <w:b/>
                <w:bCs/>
                <w:color w:val="FFFFFF"/>
                <w:sz w:val="19"/>
                <w:szCs w:val="19"/>
              </w:rPr>
              <w:t xml:space="preserve">PIXEL-Srishti Response</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Interface</w:t>
            </w:r>
          </w:p>
        </w:tc>
        <w:tc>
          <w:tcPr>
            <w:tcW w:type="dxa" w:w="3600"/>
            <w:tcMar>
              <w:top w:type="dxa" w:w="100"/>
              <w:left w:type="dxa" w:w="120"/>
              <w:bottom w:type="dxa" w:w="100"/>
              <w:right w:type="dxa" w:w="120"/>
            </w:tcMar>
            <w:vAlign w:val="center"/>
          </w:tcPr>
          <w:p>
            <w:r>
              <w:rPr>
                <w:b w:val="false"/>
                <w:bCs w:val="false"/>
                <w:color w:val="222222"/>
                <w:sz w:val="19"/>
                <w:szCs w:val="19"/>
              </w:rPr>
              <w:t xml:space="preserve">Task-specific tools; users must pick the right model manually</w:t>
            </w:r>
          </w:p>
        </w:tc>
        <w:tc>
          <w:tcPr>
            <w:tcW w:type="dxa" w:w="3600"/>
            <w:tcMar>
              <w:top w:type="dxa" w:w="100"/>
              <w:left w:type="dxa" w:w="120"/>
              <w:bottom w:type="dxa" w:w="100"/>
              <w:right w:type="dxa" w:w="120"/>
            </w:tcMar>
            <w:vAlign w:val="center"/>
          </w:tcPr>
          <w:p>
            <w:r>
              <w:rPr>
                <w:b w:val="false"/>
                <w:bCs w:val="false"/>
                <w:color w:val="222222"/>
                <w:sz w:val="19"/>
                <w:szCs w:val="19"/>
              </w:rPr>
              <w:t xml:space="preserve">Single agentic controller; natural-language query auto-routes to the right specialist tool</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Modality coverage</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Optical-only or SAR-only pipelines analysed in isolation</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Native optical-SAR fusion + bi-temporal reasoning in one workflow</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Field data use</w:t>
            </w:r>
          </w:p>
        </w:tc>
        <w:tc>
          <w:tcPr>
            <w:tcW w:type="dxa" w:w="3600"/>
            <w:tcMar>
              <w:top w:type="dxa" w:w="100"/>
              <w:left w:type="dxa" w:w="120"/>
              <w:bottom w:type="dxa" w:w="100"/>
              <w:right w:type="dxa" w:w="120"/>
            </w:tcMar>
            <w:vAlign w:val="center"/>
          </w:tcPr>
          <w:p>
            <w:r>
              <w:rPr>
                <w:b w:val="false"/>
                <w:bCs w:val="false"/>
                <w:color w:val="222222"/>
                <w:sz w:val="19"/>
                <w:szCs w:val="19"/>
              </w:rPr>
              <w:t xml:space="preserve">Geo-tagged photos stored but not analytically used</w:t>
            </w:r>
          </w:p>
        </w:tc>
        <w:tc>
          <w:tcPr>
            <w:tcW w:type="dxa" w:w="3600"/>
            <w:tcMar>
              <w:top w:type="dxa" w:w="100"/>
              <w:left w:type="dxa" w:w="120"/>
              <w:bottom w:type="dxa" w:w="100"/>
              <w:right w:type="dxa" w:w="120"/>
            </w:tcMar>
            <w:vAlign w:val="center"/>
          </w:tcPr>
          <w:p>
            <w:r>
              <w:rPr>
                <w:b w:val="false"/>
                <w:bCs w:val="false"/>
                <w:color w:val="222222"/>
                <w:sz w:val="19"/>
                <w:szCs w:val="19"/>
              </w:rPr>
              <w:t xml:space="preserve">Photos + SRISHTI-DRISHTI 30m layers fused into thematic/change maps</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Accountability</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Manual reporting; no reproducible audit trail</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Machine-readable JSON execution trace per query for administrative traceability</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Accessibility</w:t>
            </w:r>
          </w:p>
        </w:tc>
        <w:tc>
          <w:tcPr>
            <w:tcW w:type="dxa" w:w="3600"/>
            <w:tcMar>
              <w:top w:type="dxa" w:w="100"/>
              <w:left w:type="dxa" w:w="120"/>
              <w:bottom w:type="dxa" w:w="100"/>
              <w:right w:type="dxa" w:w="120"/>
            </w:tcMar>
            <w:vAlign w:val="center"/>
          </w:tcPr>
          <w:p>
            <w:r>
              <w:rPr>
                <w:b w:val="false"/>
                <w:bCs w:val="false"/>
                <w:color w:val="222222"/>
                <w:sz w:val="19"/>
                <w:szCs w:val="19"/>
              </w:rPr>
              <w:t xml:space="preserve">Requires GIS/RS expertise</w:t>
            </w:r>
          </w:p>
        </w:tc>
        <w:tc>
          <w:tcPr>
            <w:tcW w:type="dxa" w:w="3600"/>
            <w:tcMar>
              <w:top w:type="dxa" w:w="100"/>
              <w:left w:type="dxa" w:w="120"/>
              <w:bottom w:type="dxa" w:w="100"/>
              <w:right w:type="dxa" w:w="120"/>
            </w:tcMar>
            <w:vAlign w:val="center"/>
          </w:tcPr>
          <w:p>
            <w:r>
              <w:rPr>
                <w:b w:val="false"/>
                <w:bCs w:val="false"/>
                <w:color w:val="222222"/>
                <w:sz w:val="19"/>
                <w:szCs w:val="19"/>
              </w:rPr>
              <w:t xml:space="preserve">Plain-language querying for non-expert field officers and planners</w:t>
            </w:r>
          </w:p>
        </w:tc>
      </w:tr>
    </w:tbl>
    <w:p>
      <w:pPr>
        <w:spacing w:after="100"/>
      </w:pPr>
    </w:p>
    <w:p>
      <w:pPr>
        <w:pStyle w:val="Heading2"/>
        <w:spacing w:after="120" w:before="300"/>
      </w:pPr>
      <w:r>
        <w:rPr>
          <w:b/>
          <w:bCs/>
          <w:color w:val="0E7C7B"/>
          <w:sz w:val="24"/>
          <w:szCs w:val="24"/>
        </w:rPr>
        <w:t xml:space="preserve">2.4 What We Will Achieve</w:t>
      </w:r>
    </w:p>
    <w:p>
      <w:pPr>
        <w:pStyle w:val="ListParagraph"/>
        <w:numPr>
          <w:ilvl w:val="0"/>
          <w:numId w:val="2"/>
        </w:numPr>
        <w:spacing w:after="80"/>
      </w:pPr>
      <w:r>
        <w:rPr>
          <w:color w:val="222222"/>
          <w:sz w:val="21"/>
          <w:szCs w:val="21"/>
        </w:rPr>
        <w:t xml:space="preserve">A working agentic system that satisfies every mandatory functional requirement of PS26167: single-image VQA + one additional task, bi-temporal change VQA, optical-SAR fusion, and agentic orchestration with an auditable execution trace.</w:t>
      </w:r>
    </w:p>
    <w:p>
      <w:pPr>
        <w:pStyle w:val="ListParagraph"/>
        <w:numPr>
          <w:ilvl w:val="0"/>
          <w:numId w:val="2"/>
        </w:numPr>
        <w:spacing w:after="80"/>
      </w:pPr>
      <w:r>
        <w:rPr>
          <w:color w:val="222222"/>
          <w:sz w:val="21"/>
          <w:szCs w:val="21"/>
        </w:rPr>
        <w:t xml:space="preserve">A watershed-specific deployment (PS26015) that turns SRISHTI-DRISHTI imagery and field photos into land-use, drainage, and vegetation-change maps a District Watershed Officer can actually query in plain language.</w:t>
      </w:r>
    </w:p>
    <w:p>
      <w:pPr>
        <w:pStyle w:val="ListParagraph"/>
        <w:numPr>
          <w:ilvl w:val="0"/>
          <w:numId w:val="2"/>
        </w:numPr>
        <w:spacing w:after="80"/>
      </w:pPr>
      <w:r>
        <w:rPr>
          <w:color w:val="222222"/>
          <w:sz w:val="21"/>
          <w:szCs w:val="21"/>
        </w:rPr>
        <w:t xml:space="preserve">A single reusable AI core, demonstrated across a national-security-grade benchmark suite (VRSBench, RSVQA, CDVQA) and a real governance use case — proving both technical depth and deployability.</w:t>
      </w:r>
    </w:p>
    <w:p>
      <w:pPr>
        <w:pStyle w:val="ListParagraph"/>
        <w:numPr>
          <w:ilvl w:val="0"/>
          <w:numId w:val="2"/>
        </w:numPr>
        <w:spacing w:after="80"/>
      </w:pPr>
      <w:r>
        <w:rPr>
          <w:color w:val="222222"/>
          <w:sz w:val="21"/>
          <w:szCs w:val="21"/>
        </w:rPr>
        <w:t xml:space="preserve">A demo narrative judges can follow in under five minutes: ask a question, watch the agent choose tools, see grounded visual evidence and a downloadable report.</w:t>
      </w:r>
    </w:p>
    <w:p>
      <w:r>
        <w:br w:type="page"/>
      </w:r>
    </w:p>
    <w:p>
      <w:pPr>
        <w:pStyle w:val="Heading1"/>
        <w:pBdr>
          <w:bottom w:val="single" w:color="0E7C7B" w:sz="6" w:space="4"/>
        </w:pBdr>
        <w:spacing w:after="200" w:before="400"/>
      </w:pPr>
      <w:r>
        <w:rPr>
          <w:b/>
          <w:bCs/>
          <w:color w:val="1B2A4A"/>
          <w:sz w:val="30"/>
          <w:szCs w:val="30"/>
        </w:rPr>
        <w:t xml:space="preserve">3. Proposed Solution &amp; Unique Value Proposition</w:t>
      </w:r>
    </w:p>
    <w:p>
      <w:pPr>
        <w:spacing w:after="160" w:line="276"/>
      </w:pPr>
      <w:r>
        <w:rPr>
          <w:color w:val="222222"/>
          <w:sz w:val="21"/>
          <w:szCs w:val="21"/>
        </w:rPr>
        <w:t xml:space="preserve">PIXEL-Srishti is an interactive web application backed by an LLM-driven agentic controller. The controller receives a natural-language query plus one or more geospatial inputs, validates compatibility, classifies task intent, and orchestrates a registry of specialist remote-sensing models — returning grounded text, visual evidence, and a confidence-scored, auditable execution trace.</w:t>
      </w:r>
    </w:p>
    <w:p>
      <w:pPr>
        <w:pStyle w:val="Heading2"/>
        <w:spacing w:after="120" w:before="300"/>
      </w:pPr>
      <w:r>
        <w:rPr>
          <w:b/>
          <w:bCs/>
          <w:color w:val="0E7C7B"/>
          <w:sz w:val="24"/>
          <w:szCs w:val="24"/>
        </w:rPr>
        <w:t xml:space="preserve">3.1 What Makes This Win, Not Just Work</w:t>
      </w:r>
    </w:p>
    <w:p>
      <w:pPr>
        <w:pStyle w:val="ListParagraph"/>
        <w:numPr>
          <w:ilvl w:val="0"/>
          <w:numId w:val="2"/>
        </w:numPr>
        <w:spacing w:after="80"/>
      </w:pPr>
      <w:r>
        <w:rPr>
          <w:color w:val="222222"/>
          <w:sz w:val="21"/>
          <w:szCs w:val="21"/>
        </w:rPr>
        <w:t xml:space="preserve">Dual-purpose core: one orchestration engine, two demonstrably different, judge-relevant deployments — reduces build risk while doubling perceived scope.</w:t>
      </w:r>
    </w:p>
    <w:p>
      <w:pPr>
        <w:pStyle w:val="ListParagraph"/>
        <w:numPr>
          <w:ilvl w:val="0"/>
          <w:numId w:val="2"/>
        </w:numPr>
        <w:spacing w:after="80"/>
      </w:pPr>
      <w:r>
        <w:rPr>
          <w:color w:val="222222"/>
          <w:sz w:val="21"/>
          <w:szCs w:val="21"/>
        </w:rPr>
        <w:t xml:space="preserve">Evidence-grounded, not just generative: every answer is tied to a bounding box, mask, or map layer — directly answers ISRO's requirement for visual evidence and confidence, not free-text hallucination.</w:t>
      </w:r>
    </w:p>
    <w:p>
      <w:pPr>
        <w:pStyle w:val="ListParagraph"/>
        <w:numPr>
          <w:ilvl w:val="0"/>
          <w:numId w:val="2"/>
        </w:numPr>
        <w:spacing w:after="80"/>
      </w:pPr>
      <w:r>
        <w:rPr>
          <w:color w:val="222222"/>
          <w:sz w:val="21"/>
          <w:szCs w:val="21"/>
        </w:rPr>
        <w:t xml:space="preserve">Auditability as a first-class feature: JSON execution trace turns a black-box AI demo into something a government evaluator can trust — this is a differentiator most hackathon teams skip.</w:t>
      </w:r>
    </w:p>
    <w:p>
      <w:pPr>
        <w:pStyle w:val="ListParagraph"/>
        <w:numPr>
          <w:ilvl w:val="0"/>
          <w:numId w:val="2"/>
        </w:numPr>
        <w:spacing w:after="80"/>
      </w:pPr>
      <w:r>
        <w:rPr>
          <w:color w:val="222222"/>
          <w:sz w:val="21"/>
          <w:szCs w:val="21"/>
        </w:rPr>
        <w:t xml:space="preserve">Graceful degradation: if SAR or T2 imagery is missing, the controller explains what's missing and requests it — shows engineering maturity over a scripted happy-path demo.</w:t>
      </w:r>
    </w:p>
    <w:p>
      <w:pPr>
        <w:pStyle w:val="ListParagraph"/>
        <w:numPr>
          <w:ilvl w:val="0"/>
          <w:numId w:val="2"/>
        </w:numPr>
        <w:spacing w:after="80"/>
      </w:pPr>
      <w:r>
        <w:rPr>
          <w:color w:val="222222"/>
          <w:sz w:val="21"/>
          <w:szCs w:val="21"/>
        </w:rPr>
        <w:t xml:space="preserve">Field-first UX for the watershed track: works with low-bandwidth photo uploads and a simplified query mode for non-GIS users, not just a GIS analyst dashboard.</w:t>
      </w:r>
    </w:p>
    <w:p>
      <w:pPr>
        <w:pStyle w:val="Heading1"/>
        <w:pBdr>
          <w:bottom w:val="single" w:color="0E7C7B" w:sz="6" w:space="4"/>
        </w:pBdr>
        <w:spacing w:after="200" w:before="400"/>
      </w:pPr>
      <w:r>
        <w:rPr>
          <w:b/>
          <w:bCs/>
          <w:color w:val="1B2A4A"/>
          <w:sz w:val="30"/>
          <w:szCs w:val="30"/>
        </w:rPr>
        <w:t xml:space="preserve">4. System Architecture &amp; Agentic Workflow</w:t>
      </w:r>
    </w:p>
    <w:p>
      <w:pPr>
        <w:spacing w:after="160" w:line="276"/>
      </w:pPr>
      <w:r>
        <w:rPr>
          <w:color w:val="222222"/>
          <w:sz w:val="21"/>
          <w:szCs w:val="21"/>
        </w:rPr>
        <w:t xml:space="preserve">The platform is organized into four layers: input &amp; validation, agentic orchestration, the specialist tool registry, and integration/presentation.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Layer</w:t>
            </w:r>
          </w:p>
        </w:tc>
        <w:tc>
          <w:tcPr>
            <w:tcW w:type="dxa" w:w="3400"/>
            <w:shd w:fill="1B2A4A" w:val="clear"/>
            <w:tcMar>
              <w:top w:type="dxa" w:w="100"/>
              <w:left w:type="dxa" w:w="120"/>
              <w:bottom w:type="dxa" w:w="100"/>
              <w:right w:type="dxa" w:w="120"/>
            </w:tcMar>
            <w:vAlign w:val="center"/>
          </w:tcPr>
          <w:p>
            <w:r>
              <w:rPr>
                <w:b/>
                <w:bCs/>
                <w:color w:val="FFFFFF"/>
                <w:sz w:val="19"/>
                <w:szCs w:val="19"/>
              </w:rPr>
              <w:t xml:space="preserve">Responsibility</w:t>
            </w:r>
          </w:p>
        </w:tc>
        <w:tc>
          <w:tcPr>
            <w:tcW w:type="dxa" w:w="3800"/>
            <w:shd w:fill="1B2A4A" w:val="clear"/>
            <w:tcMar>
              <w:top w:type="dxa" w:w="100"/>
              <w:left w:type="dxa" w:w="120"/>
              <w:bottom w:type="dxa" w:w="100"/>
              <w:right w:type="dxa" w:w="120"/>
            </w:tcMar>
            <w:vAlign w:val="center"/>
          </w:tcPr>
          <w:p>
            <w:r>
              <w:rPr>
                <w:b/>
                <w:bCs/>
                <w:color w:val="FFFFFF"/>
                <w:sz w:val="19"/>
                <w:szCs w:val="19"/>
              </w:rPr>
              <w:t xml:space="preserve">Key Components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Input Layer</w:t>
            </w:r>
          </w:p>
        </w:tc>
        <w:tc>
          <w:tcPr>
            <w:tcW w:type="dxa" w:w="3400"/>
            <w:tcMar>
              <w:top w:type="dxa" w:w="100"/>
              <w:left w:type="dxa" w:w="120"/>
              <w:bottom w:type="dxa" w:w="100"/>
              <w:right w:type="dxa" w:w="120"/>
            </w:tcMar>
            <w:vAlign w:val="center"/>
          </w:tcPr>
          <w:p>
            <w:r>
              <w:rPr>
                <w:b w:val="false"/>
                <w:bCs w:val="false"/>
                <w:color w:val="222222"/>
                <w:sz w:val="19"/>
                <w:szCs w:val="19"/>
              </w:rPr>
              <w:t xml:space="preserve">Accept query + geospatial inputs</w:t>
            </w:r>
          </w:p>
        </w:tc>
        <w:tc>
          <w:tcPr>
            <w:tcW w:type="dxa" w:w="3800"/>
            <w:tcMar>
              <w:top w:type="dxa" w:w="100"/>
              <w:left w:type="dxa" w:w="120"/>
              <w:bottom w:type="dxa" w:w="100"/>
              <w:right w:type="dxa" w:w="120"/>
            </w:tcMar>
            <w:vAlign w:val="center"/>
          </w:tcPr>
          <w:p>
            <w:r>
              <w:rPr>
                <w:b w:val="false"/>
                <w:bCs w:val="false"/>
                <w:color w:val="222222"/>
                <w:sz w:val="19"/>
                <w:szCs w:val="19"/>
              </w:rPr>
              <w:t xml:space="preserve">GeoTIFF / TIFF upload, field photo upload, benchmark PNG/JPEG loader</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Orchestration Controller</w:t>
            </w:r>
          </w:p>
        </w:tc>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Validate, classify intent, plan &amp; sequence tools</w:t>
            </w:r>
          </w:p>
        </w:tc>
        <w:tc>
          <w:tcPr>
            <w:tcW w:type="dxa" w:w="3800"/>
            <w:shd w:fill="F2F2F2" w:val="clear"/>
            <w:tcMar>
              <w:top w:type="dxa" w:w="100"/>
              <w:left w:type="dxa" w:w="120"/>
              <w:bottom w:type="dxa" w:w="100"/>
              <w:right w:type="dxa" w:w="120"/>
            </w:tcMar>
            <w:vAlign w:val="center"/>
          </w:tcPr>
          <w:p>
            <w:r>
              <w:rPr>
                <w:b w:val="false"/>
                <w:bCs w:val="false"/>
                <w:color w:val="222222"/>
                <w:sz w:val="19"/>
                <w:szCs w:val="19"/>
              </w:rPr>
              <w:t xml:space="preserve">Compatibility checker, intent classifier, task planner, tool registry router</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Specialist Tool Registry</w:t>
            </w:r>
          </w:p>
        </w:tc>
        <w:tc>
          <w:tcPr>
            <w:tcW w:type="dxa" w:w="3400"/>
            <w:tcMar>
              <w:top w:type="dxa" w:w="100"/>
              <w:left w:type="dxa" w:w="120"/>
              <w:bottom w:type="dxa" w:w="100"/>
              <w:right w:type="dxa" w:w="120"/>
            </w:tcMar>
            <w:vAlign w:val="center"/>
          </w:tcPr>
          <w:p>
            <w:r>
              <w:rPr>
                <w:b w:val="false"/>
                <w:bCs w:val="false"/>
                <w:color w:val="222222"/>
                <w:sz w:val="19"/>
                <w:szCs w:val="19"/>
              </w:rPr>
              <w:t xml:space="preserve">Execute domain-adapted models</w:t>
            </w:r>
          </w:p>
        </w:tc>
        <w:tc>
          <w:tcPr>
            <w:tcW w:type="dxa" w:w="3800"/>
            <w:tcMar>
              <w:top w:type="dxa" w:w="100"/>
              <w:left w:type="dxa" w:w="120"/>
              <w:bottom w:type="dxa" w:w="100"/>
              <w:right w:type="dxa" w:w="120"/>
            </w:tcMar>
            <w:vAlign w:val="center"/>
          </w:tcPr>
          <w:p>
            <w:r>
              <w:rPr>
                <w:b w:val="false"/>
                <w:bCs w:val="false"/>
                <w:color w:val="222222"/>
                <w:sz w:val="19"/>
                <w:szCs w:val="19"/>
              </w:rPr>
              <w:t xml:space="preserve">RS-VQA/Captioning, Grounding, Bi-Temporal Change, Optical-SAR Fusion, Watershed Analytics</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Integration &amp; Presentation</w:t>
            </w:r>
          </w:p>
        </w:tc>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Combine outputs, present evidence</w:t>
            </w:r>
          </w:p>
        </w:tc>
        <w:tc>
          <w:tcPr>
            <w:tcW w:type="dxa" w:w="3800"/>
            <w:shd w:fill="F2F2F2" w:val="clear"/>
            <w:tcMar>
              <w:top w:type="dxa" w:w="100"/>
              <w:left w:type="dxa" w:w="120"/>
              <w:bottom w:type="dxa" w:w="100"/>
              <w:right w:type="dxa" w:w="120"/>
            </w:tcMar>
            <w:vAlign w:val="center"/>
          </w:tcPr>
          <w:p>
            <w:r>
              <w:rPr>
                <w:b w:val="false"/>
                <w:bCs w:val="false"/>
                <w:color w:val="222222"/>
                <w:sz w:val="19"/>
                <w:szCs w:val="19"/>
              </w:rPr>
              <w:t xml:space="preserve">Map overlays, swipe compare, JSON trace, PDF/HTML report generation</w:t>
            </w:r>
          </w:p>
        </w:tc>
      </w:tr>
    </w:tbl>
    <w:p>
      <w:pPr>
        <w:spacing w:after="100"/>
      </w:pPr>
    </w:p>
    <w:p>
      <w:pPr>
        <w:pStyle w:val="Heading2"/>
        <w:spacing w:after="120" w:before="300"/>
      </w:pPr>
      <w:r>
        <w:rPr>
          <w:b/>
          <w:bCs/>
          <w:color w:val="0E7C7B"/>
          <w:sz w:val="24"/>
          <w:szCs w:val="24"/>
        </w:rPr>
        <w:t xml:space="preserve">4.1 Request Flow</w:t>
      </w:r>
    </w:p>
    <w:p>
      <w:pPr>
        <w:pStyle w:val="ListParagraph"/>
        <w:numPr>
          <w:ilvl w:val="0"/>
          <w:numId w:val="2"/>
        </w:numPr>
        <w:spacing w:after="80"/>
      </w:pPr>
      <w:r>
        <w:rPr>
          <w:color w:val="222222"/>
          <w:sz w:val="21"/>
          <w:szCs w:val="21"/>
        </w:rPr>
        <w:t xml:space="preserve">User submits a natural-language query with one or more geospatial inputs (single image, cross-modal pair, or bi-temporal pair).</w:t>
      </w:r>
    </w:p>
    <w:p>
      <w:pPr>
        <w:pStyle w:val="ListParagraph"/>
        <w:numPr>
          <w:ilvl w:val="0"/>
          <w:numId w:val="2"/>
        </w:numPr>
        <w:spacing w:after="80"/>
      </w:pPr>
      <w:r>
        <w:rPr>
          <w:color w:val="222222"/>
          <w:sz w:val="21"/>
          <w:szCs w:val="21"/>
        </w:rPr>
        <w:t xml:space="preserve">Controller validates modality, format (GeoTIFF/TIFF/approved benchmark formats), resolution, and CRS/EPSG alignment.</w:t>
      </w:r>
    </w:p>
    <w:p>
      <w:pPr>
        <w:pStyle w:val="ListParagraph"/>
        <w:numPr>
          <w:ilvl w:val="0"/>
          <w:numId w:val="2"/>
        </w:numPr>
        <w:spacing w:after="80"/>
      </w:pPr>
      <w:r>
        <w:rPr>
          <w:color w:val="222222"/>
          <w:sz w:val="21"/>
          <w:szCs w:val="21"/>
        </w:rPr>
        <w:t xml:space="preserve">Intent classifier maps the query to a task class: single-image VQA/captioning/grounding, bi-temporal change, or optical-SAR fusion.</w:t>
      </w:r>
    </w:p>
    <w:p>
      <w:pPr>
        <w:pStyle w:val="ListParagraph"/>
        <w:numPr>
          <w:ilvl w:val="0"/>
          <w:numId w:val="2"/>
        </w:numPr>
        <w:spacing w:after="80"/>
      </w:pPr>
      <w:r>
        <w:rPr>
          <w:color w:val="222222"/>
          <w:sz w:val="21"/>
          <w:szCs w:val="21"/>
        </w:rPr>
        <w:t xml:space="preserve">Task planner selects and sequences the minimum sufficient set of specialist tools from the registry and executes with permitted parameters only.</w:t>
      </w:r>
    </w:p>
    <w:p>
      <w:pPr>
        <w:pStyle w:val="ListParagraph"/>
        <w:numPr>
          <w:ilvl w:val="0"/>
          <w:numId w:val="2"/>
        </w:numPr>
        <w:spacing w:after="80"/>
      </w:pPr>
      <w:r>
        <w:rPr>
          <w:color w:val="222222"/>
          <w:sz w:val="21"/>
          <w:szCs w:val="21"/>
        </w:rPr>
        <w:t xml:space="preserve">Integration layer merges textual and spatial outputs, computes a confidence score, and renders visual evidence alongside a machine-readable execution summary.</w:t>
      </w:r>
    </w:p>
    <w:p>
      <w:r>
        <w:br w:type="page"/>
      </w:r>
    </w:p>
    <w:p>
      <w:pPr>
        <w:pStyle w:val="Heading1"/>
        <w:pBdr>
          <w:bottom w:val="single" w:color="0E7C7B" w:sz="6" w:space="4"/>
        </w:pBdr>
        <w:spacing w:after="200" w:before="400"/>
      </w:pPr>
      <w:r>
        <w:rPr>
          <w:b/>
          <w:bCs/>
          <w:color w:val="1B2A4A"/>
          <w:sz w:val="30"/>
          <w:szCs w:val="30"/>
        </w:rPr>
        <w:t xml:space="preserve">5. Functional Requirements &amp; Tool Registry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400"/>
      </w:tblGrid>
      <w:tr>
        <w:trPr>
          <w:tblHeader/>
        </w:trPr>
        <w:tc>
          <w:tcPr>
            <w:tcW w:type="dxa" w:w="2400"/>
            <w:shd w:fill="1B2A4A" w:val="clear"/>
            <w:tcMar>
              <w:top w:type="dxa" w:w="100"/>
              <w:left w:type="dxa" w:w="120"/>
              <w:bottom w:type="dxa" w:w="100"/>
              <w:right w:type="dxa" w:w="120"/>
            </w:tcMar>
            <w:vAlign w:val="center"/>
          </w:tcPr>
          <w:p>
            <w:r>
              <w:rPr>
                <w:b/>
                <w:bCs/>
                <w:color w:val="FFFFFF"/>
                <w:sz w:val="19"/>
                <w:szCs w:val="19"/>
              </w:rPr>
              <w:t xml:space="preserve">Module / Tool</w:t>
            </w:r>
          </w:p>
        </w:tc>
        <w:tc>
          <w:tcPr>
            <w:tcW w:type="dxa" w:w="2400"/>
            <w:shd w:fill="1B2A4A" w:val="clear"/>
            <w:tcMar>
              <w:top w:type="dxa" w:w="100"/>
              <w:left w:type="dxa" w:w="120"/>
              <w:bottom w:type="dxa" w:w="100"/>
              <w:right w:type="dxa" w:w="120"/>
            </w:tcMar>
            <w:vAlign w:val="center"/>
          </w:tcPr>
          <w:p>
            <w:r>
              <w:rPr>
                <w:b/>
                <w:bCs/>
                <w:color w:val="FFFFFF"/>
                <w:sz w:val="19"/>
                <w:szCs w:val="19"/>
              </w:rPr>
              <w:t xml:space="preserve">Input Modalities</w:t>
            </w:r>
          </w:p>
        </w:tc>
        <w:tc>
          <w:tcPr>
            <w:tcW w:type="dxa" w:w="2600"/>
            <w:shd w:fill="1B2A4A" w:val="clear"/>
            <w:tcMar>
              <w:top w:type="dxa" w:w="100"/>
              <w:left w:type="dxa" w:w="120"/>
              <w:bottom w:type="dxa" w:w="100"/>
              <w:right w:type="dxa" w:w="120"/>
            </w:tcMar>
            <w:vAlign w:val="center"/>
          </w:tcPr>
          <w:p>
            <w:r>
              <w:rPr>
                <w:b/>
                <w:bCs/>
                <w:color w:val="FFFFFF"/>
                <w:sz w:val="19"/>
                <w:szCs w:val="19"/>
              </w:rPr>
              <w:t xml:space="preserve">Technical Approach</w:t>
            </w:r>
          </w:p>
        </w:tc>
        <w:tc>
          <w:tcPr>
            <w:tcW w:type="dxa" w:w="2400"/>
            <w:shd w:fill="1B2A4A" w:val="clear"/>
            <w:tcMar>
              <w:top w:type="dxa" w:w="100"/>
              <w:left w:type="dxa" w:w="120"/>
              <w:bottom w:type="dxa" w:w="100"/>
              <w:right w:type="dxa" w:w="120"/>
            </w:tcMar>
            <w:vAlign w:val="center"/>
          </w:tcPr>
          <w:p>
            <w:r>
              <w:rPr>
                <w:b/>
                <w:bCs/>
                <w:color w:val="FFFFFF"/>
                <w:sz w:val="19"/>
                <w:szCs w:val="19"/>
              </w:rPr>
              <w:t xml:space="preserve">Expected Output</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VQA &amp; Captioning</w:t>
            </w:r>
          </w:p>
        </w:tc>
        <w:tc>
          <w:tcPr>
            <w:tcW w:type="dxa" w:w="2400"/>
            <w:tcMar>
              <w:top w:type="dxa" w:w="100"/>
              <w:left w:type="dxa" w:w="120"/>
              <w:bottom w:type="dxa" w:w="100"/>
              <w:right w:type="dxa" w:w="120"/>
            </w:tcMar>
            <w:vAlign w:val="center"/>
          </w:tcPr>
          <w:p>
            <w:r>
              <w:rPr>
                <w:b w:val="false"/>
                <w:bCs w:val="false"/>
                <w:color w:val="222222"/>
                <w:sz w:val="19"/>
                <w:szCs w:val="19"/>
              </w:rPr>
              <w:t xml:space="preserve">Single Optical / SAR</w:t>
            </w:r>
          </w:p>
        </w:tc>
        <w:tc>
          <w:tcPr>
            <w:tcW w:type="dxa" w:w="2600"/>
            <w:tcMar>
              <w:top w:type="dxa" w:w="100"/>
              <w:left w:type="dxa" w:w="120"/>
              <w:bottom w:type="dxa" w:w="100"/>
              <w:right w:type="dxa" w:w="120"/>
            </w:tcMar>
            <w:vAlign w:val="center"/>
          </w:tcPr>
          <w:p>
            <w:r>
              <w:rPr>
                <w:b w:val="false"/>
                <w:bCs w:val="false"/>
                <w:color w:val="222222"/>
                <w:sz w:val="19"/>
                <w:szCs w:val="19"/>
              </w:rPr>
              <w:t xml:space="preserve">VLM fine-tuned on BigEarthNet + VRSBench</w:t>
            </w:r>
          </w:p>
        </w:tc>
        <w:tc>
          <w:tcPr>
            <w:tcW w:type="dxa" w:w="2400"/>
            <w:tcMar>
              <w:top w:type="dxa" w:w="100"/>
              <w:left w:type="dxa" w:w="120"/>
              <w:bottom w:type="dxa" w:w="100"/>
              <w:right w:type="dxa" w:w="120"/>
            </w:tcMar>
            <w:vAlign w:val="center"/>
          </w:tcPr>
          <w:p>
            <w:r>
              <w:rPr>
                <w:b w:val="false"/>
                <w:bCs w:val="false"/>
                <w:color w:val="222222"/>
                <w:sz w:val="19"/>
                <w:szCs w:val="19"/>
              </w:rPr>
              <w:t xml:space="preserve">Natural-language scene descriptions, answers</w:t>
            </w:r>
          </w:p>
        </w:tc>
      </w:tr>
      <w:tr>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Text-Guided Grounding</w:t>
            </w:r>
          </w:p>
        </w:tc>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Single Optical/SAR + Text</w:t>
            </w:r>
          </w:p>
        </w:tc>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Grounding DINO / SAM, VRSBench-adapted</w:t>
            </w:r>
          </w:p>
        </w:tc>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Bounding boxes / polygons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Bi-Temporal Change</w:t>
            </w:r>
          </w:p>
        </w:tc>
        <w:tc>
          <w:tcPr>
            <w:tcW w:type="dxa" w:w="2400"/>
            <w:tcMar>
              <w:top w:type="dxa" w:w="100"/>
              <w:left w:type="dxa" w:w="120"/>
              <w:bottom w:type="dxa" w:w="100"/>
              <w:right w:type="dxa" w:w="120"/>
            </w:tcMar>
            <w:vAlign w:val="center"/>
          </w:tcPr>
          <w:p>
            <w:r>
              <w:rPr>
                <w:b w:val="false"/>
                <w:bCs w:val="false"/>
                <w:color w:val="222222"/>
                <w:sz w:val="19"/>
                <w:szCs w:val="19"/>
              </w:rPr>
              <w:t xml:space="preserve">Co-registered Pair (T1, T2)</w:t>
            </w:r>
          </w:p>
        </w:tc>
        <w:tc>
          <w:tcPr>
            <w:tcW w:type="dxa" w:w="2600"/>
            <w:tcMar>
              <w:top w:type="dxa" w:w="100"/>
              <w:left w:type="dxa" w:w="120"/>
              <w:bottom w:type="dxa" w:w="100"/>
              <w:right w:type="dxa" w:w="120"/>
            </w:tcMar>
            <w:vAlign w:val="center"/>
          </w:tcPr>
          <w:p>
            <w:r>
              <w:rPr>
                <w:b w:val="false"/>
                <w:bCs w:val="false"/>
                <w:color w:val="222222"/>
                <w:sz w:val="19"/>
                <w:szCs w:val="19"/>
              </w:rPr>
              <w:t xml:space="preserve">Siamese network (ChangeFormer) via CDVQA</w:t>
            </w:r>
          </w:p>
        </w:tc>
        <w:tc>
          <w:tcPr>
            <w:tcW w:type="dxa" w:w="2400"/>
            <w:tcMar>
              <w:top w:type="dxa" w:w="100"/>
              <w:left w:type="dxa" w:w="120"/>
              <w:bottom w:type="dxa" w:w="100"/>
              <w:right w:type="dxa" w:w="120"/>
            </w:tcMar>
            <w:vAlign w:val="center"/>
          </w:tcPr>
          <w:p>
            <w:r>
              <w:rPr>
                <w:b w:val="false"/>
                <w:bCs w:val="false"/>
                <w:color w:val="222222"/>
                <w:sz w:val="19"/>
                <w:szCs w:val="19"/>
              </w:rPr>
              <w:t xml:space="preserve">Binary change masks, spatial descriptions</w:t>
            </w:r>
          </w:p>
        </w:tc>
      </w:tr>
      <w:tr>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Optical-SAR Fusion</w:t>
            </w:r>
          </w:p>
        </w:tc>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Optical + Sentinel-1 SAR</w:t>
            </w:r>
          </w:p>
        </w:tc>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Dual-branch fusion CNN</w:t>
            </w:r>
          </w:p>
        </w:tc>
        <w:tc>
          <w:tcPr>
            <w:tcW w:type="dxa" w:w="2400"/>
            <w:shd w:fill="F2F2F2" w:val="clear"/>
            <w:tcMar>
              <w:top w:type="dxa" w:w="100"/>
              <w:left w:type="dxa" w:w="120"/>
              <w:bottom w:type="dxa" w:w="100"/>
              <w:right w:type="dxa" w:w="120"/>
            </w:tcMar>
            <w:vAlign w:val="center"/>
          </w:tcPr>
          <w:p>
            <w:r>
              <w:rPr>
                <w:b w:val="false"/>
                <w:bCs w:val="false"/>
                <w:color w:val="222222"/>
                <w:sz w:val="19"/>
                <w:szCs w:val="19"/>
              </w:rPr>
              <w:t xml:space="preserve">All-weather segmentation masks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Watershed Analytics</w:t>
            </w:r>
          </w:p>
        </w:tc>
        <w:tc>
          <w:tcPr>
            <w:tcW w:type="dxa" w:w="2400"/>
            <w:tcMar>
              <w:top w:type="dxa" w:w="100"/>
              <w:left w:type="dxa" w:w="120"/>
              <w:bottom w:type="dxa" w:w="100"/>
              <w:right w:type="dxa" w:w="120"/>
            </w:tcMar>
            <w:vAlign w:val="center"/>
          </w:tcPr>
          <w:p>
            <w:r>
              <w:rPr>
                <w:b w:val="false"/>
                <w:bCs w:val="false"/>
                <w:color w:val="222222"/>
                <w:sz w:val="19"/>
                <w:szCs w:val="19"/>
              </w:rPr>
              <w:t xml:space="preserve">SRISHTI-DRISHTI 30m + Field Photos</w:t>
            </w:r>
          </w:p>
        </w:tc>
        <w:tc>
          <w:tcPr>
            <w:tcW w:type="dxa" w:w="2600"/>
            <w:tcMar>
              <w:top w:type="dxa" w:w="100"/>
              <w:left w:type="dxa" w:w="120"/>
              <w:bottom w:type="dxa" w:w="100"/>
              <w:right w:type="dxa" w:w="120"/>
            </w:tcMar>
            <w:vAlign w:val="center"/>
          </w:tcPr>
          <w:p>
            <w:r>
              <w:rPr>
                <w:b w:val="false"/>
                <w:bCs w:val="false"/>
                <w:color w:val="222222"/>
                <w:sz w:val="19"/>
                <w:szCs w:val="19"/>
              </w:rPr>
              <w:t xml:space="preserve">DeepLabV3+ semantic segmentation</w:t>
            </w:r>
          </w:p>
        </w:tc>
        <w:tc>
          <w:tcPr>
            <w:tcW w:type="dxa" w:w="2400"/>
            <w:tcMar>
              <w:top w:type="dxa" w:w="100"/>
              <w:left w:type="dxa" w:w="120"/>
              <w:bottom w:type="dxa" w:w="100"/>
              <w:right w:type="dxa" w:w="120"/>
            </w:tcMar>
            <w:vAlign w:val="center"/>
          </w:tcPr>
          <w:p>
            <w:r>
              <w:rPr>
                <w:b w:val="false"/>
                <w:bCs w:val="false"/>
                <w:color w:val="222222"/>
                <w:sz w:val="19"/>
                <w:szCs w:val="19"/>
              </w:rPr>
              <w:t xml:space="preserve">Land-use / drainage maps, NDVI, intervention overlays</w:t>
            </w:r>
          </w:p>
        </w:tc>
      </w:tr>
    </w:tbl>
    <w:p>
      <w:pPr>
        <w:spacing w:after="100"/>
      </w:pPr>
    </w:p>
    <w:p>
      <w:pPr>
        <w:pStyle w:val="Heading2"/>
        <w:spacing w:after="120" w:before="300"/>
      </w:pPr>
      <w:r>
        <w:rPr>
          <w:b/>
          <w:bCs/>
          <w:color w:val="0E7C7B"/>
          <w:sz w:val="24"/>
          <w:szCs w:val="24"/>
        </w:rPr>
        <w:t xml:space="preserve">5.1 Mandatory Coverage Checklist (PS26167)</w:t>
      </w:r>
    </w:p>
    <w:p>
      <w:pPr>
        <w:pStyle w:val="ListParagraph"/>
        <w:numPr>
          <w:ilvl w:val="0"/>
          <w:numId w:val="2"/>
        </w:numPr>
        <w:spacing w:after="80"/>
      </w:pPr>
      <w:r>
        <w:rPr>
          <w:color w:val="222222"/>
          <w:sz w:val="21"/>
          <w:szCs w:val="21"/>
        </w:rPr>
        <w:t xml:space="preserve">Single-image VQA — mandatory baseline. ✅ Covered by RS-VQA module.</w:t>
      </w:r>
    </w:p>
    <w:p>
      <w:pPr>
        <w:pStyle w:val="ListParagraph"/>
        <w:numPr>
          <w:ilvl w:val="0"/>
          <w:numId w:val="2"/>
        </w:numPr>
        <w:spacing w:after="80"/>
      </w:pPr>
      <w:r>
        <w:rPr>
          <w:color w:val="222222"/>
          <w:sz w:val="21"/>
          <w:szCs w:val="21"/>
        </w:rPr>
        <w:t xml:space="preserve">One additional single-image task (captioning or grounding). ✅ Covered by Grounding module.</w:t>
      </w:r>
    </w:p>
    <w:p>
      <w:pPr>
        <w:pStyle w:val="ListParagraph"/>
        <w:numPr>
          <w:ilvl w:val="0"/>
          <w:numId w:val="2"/>
        </w:numPr>
        <w:spacing w:after="80"/>
      </w:pPr>
      <w:r>
        <w:rPr>
          <w:color w:val="222222"/>
          <w:sz w:val="21"/>
          <w:szCs w:val="21"/>
        </w:rPr>
        <w:t xml:space="preserve">Bi-temporal change description / change-VQA. ✅ Covered by ChangeFormer module.</w:t>
      </w:r>
    </w:p>
    <w:p>
      <w:pPr>
        <w:pStyle w:val="ListParagraph"/>
        <w:numPr>
          <w:ilvl w:val="0"/>
          <w:numId w:val="2"/>
        </w:numPr>
        <w:spacing w:after="80"/>
      </w:pPr>
      <w:r>
        <w:rPr>
          <w:color w:val="222222"/>
          <w:sz w:val="21"/>
          <w:szCs w:val="21"/>
        </w:rPr>
        <w:t xml:space="preserve">Optical-SAR cross-modal joint analysis. ✅ Covered by Fusion module.</w:t>
      </w:r>
    </w:p>
    <w:p>
      <w:pPr>
        <w:pStyle w:val="ListParagraph"/>
        <w:numPr>
          <w:ilvl w:val="0"/>
          <w:numId w:val="2"/>
        </w:numPr>
        <w:spacing w:after="80"/>
      </w:pPr>
      <w:r>
        <w:rPr>
          <w:color w:val="222222"/>
          <w:sz w:val="21"/>
          <w:szCs w:val="21"/>
        </w:rPr>
        <w:t xml:space="preserve">Agentic orchestration with auditable execution trace. ✅ Covered by the Controller.</w:t>
      </w:r>
    </w:p>
    <w:p>
      <w:pPr>
        <w:pStyle w:val="Heading1"/>
        <w:pBdr>
          <w:bottom w:val="single" w:color="0E7C7B" w:sz="6" w:space="4"/>
        </w:pBdr>
        <w:spacing w:after="200" w:before="400"/>
      </w:pPr>
      <w:r>
        <w:rPr>
          <w:b/>
          <w:bCs/>
          <w:color w:val="1B2A4A"/>
          <w:sz w:val="30"/>
          <w:szCs w:val="30"/>
        </w:rPr>
        <w:t xml:space="preserve">6. Core Technical Specifications</w:t>
      </w:r>
    </w:p>
    <w:p>
      <w:pPr>
        <w:pStyle w:val="Heading2"/>
        <w:spacing w:after="120" w:before="300"/>
      </w:pPr>
      <w:r>
        <w:rPr>
          <w:b/>
          <w:bCs/>
          <w:color w:val="0E7C7B"/>
          <w:sz w:val="24"/>
          <w:szCs w:val="24"/>
        </w:rPr>
        <w:t xml:space="preserve">6.1 Agentic Task Routing &amp; Validation</w:t>
      </w:r>
    </w:p>
    <w:p>
      <w:pPr>
        <w:spacing w:after="160" w:line="276"/>
      </w:pPr>
      <w:r>
        <w:rPr>
          <w:color w:val="222222"/>
          <w:sz w:val="21"/>
          <w:szCs w:val="21"/>
        </w:rPr>
        <w:t xml:space="preserve">The orchestrator evaluates input context against strict tool definitions before execution. If a user asks a temporal-change question but supplies only one image, the controller halts gracefully and requests the missing T2 image rather than guessing. Compatibility checks cover spatial resolution, EPSG code alignment, and file format.</w:t>
      </w:r>
    </w:p>
    <w:p>
      <w:pPr>
        <w:pStyle w:val="Heading2"/>
        <w:spacing w:after="120" w:before="300"/>
      </w:pPr>
      <w:r>
        <w:rPr>
          <w:b/>
          <w:bCs/>
          <w:color w:val="0E7C7B"/>
          <w:sz w:val="24"/>
          <w:szCs w:val="24"/>
        </w:rPr>
        <w:t xml:space="preserve">6.2 Geospatial Ingestion Engine</w:t>
      </w:r>
    </w:p>
    <w:p>
      <w:pPr>
        <w:spacing w:after="160" w:line="276"/>
      </w:pPr>
      <w:r>
        <w:rPr>
          <w:color w:val="222222"/>
          <w:sz w:val="21"/>
          <w:szCs w:val="21"/>
        </w:rPr>
        <w:t xml:space="preserve">An automated pipeline built on GDAL and Rasterio normalizes incoming imagery: CRS reprojection, raster tiling for memory-efficient local/cloud inference, and channel normalization across optical and radar sensors with differing dynamic ranges.</w:t>
      </w:r>
    </w:p>
    <w:p>
      <w:pPr>
        <w:pStyle w:val="Heading2"/>
        <w:spacing w:after="120" w:before="300"/>
      </w:pPr>
      <w:r>
        <w:rPr>
          <w:b/>
          <w:bCs/>
          <w:color w:val="0E7C7B"/>
          <w:sz w:val="24"/>
          <w:szCs w:val="24"/>
        </w:rPr>
        <w:t xml:space="preserve">6.3 Auditability Layer</w:t>
      </w:r>
    </w:p>
    <w:p>
      <w:pPr>
        <w:spacing w:after="160" w:line="276"/>
      </w:pPr>
      <w:r>
        <w:rPr>
          <w:color w:val="222222"/>
          <w:sz w:val="21"/>
          <w:szCs w:val="21"/>
        </w:rPr>
        <w:t xml:space="preserve">Every pipeline run emits a machine-readable JSON trace recording tool selection, model hyperparameters, execution latency, and geographic coordinates — satisfying PS26167's requirement that only the observable execution trace (not internal reasoning) be evaluated, and giving PS26015 the administrative traceability government reviewers expect.</w:t>
      </w:r>
    </w:p>
    <w:p>
      <w:pPr>
        <w:pStyle w:val="Heading2"/>
        <w:spacing w:after="120" w:before="300"/>
      </w:pPr>
      <w:r>
        <w:rPr>
          <w:b/>
          <w:bCs/>
          <w:color w:val="0E7C7B"/>
          <w:sz w:val="24"/>
          <w:szCs w:val="24"/>
        </w:rPr>
        <w:t xml:space="preserve">6.4 Interactive Presentation Layer</w:t>
      </w:r>
    </w:p>
    <w:p>
      <w:pPr>
        <w:spacing w:after="160" w:line="276"/>
      </w:pPr>
      <w:r>
        <w:rPr>
          <w:color w:val="222222"/>
          <w:sz w:val="21"/>
          <w:szCs w:val="21"/>
        </w:rPr>
        <w:t xml:space="preserve">The web interface provides interactive map overlays, a split-screen swipe component for before/after change comparison, and automated, formatted report generation (PDF/HTML) for field agents and evaluators alike.</w:t>
      </w:r>
    </w:p>
    <w:p>
      <w:pPr>
        <w:pStyle w:val="Heading2"/>
        <w:spacing w:after="120" w:before="300"/>
      </w:pPr>
      <w:r>
        <w:rPr>
          <w:b/>
          <w:bCs/>
          <w:color w:val="0E7C7B"/>
          <w:sz w:val="24"/>
          <w:szCs w:val="24"/>
        </w:rPr>
        <w:t xml:space="preserve">6.5 Data &amp; Model Adaptation Strategy</w:t>
      </w:r>
    </w:p>
    <w:p>
      <w:pPr>
        <w:pStyle w:val="ListParagraph"/>
        <w:numPr>
          <w:ilvl w:val="0"/>
          <w:numId w:val="2"/>
        </w:numPr>
        <w:spacing w:after="80"/>
      </w:pPr>
      <w:r>
        <w:rPr>
          <w:color w:val="222222"/>
          <w:sz w:val="21"/>
          <w:szCs w:val="21"/>
        </w:rPr>
        <w:t xml:space="preserve">Primary adaptation dataset: BigEarthNet (co-registered Sentinel-1 SAR + Sentinel-2 multispectral with text annotations) for base remote-sensing grounding of the VLM.</w:t>
      </w:r>
    </w:p>
    <w:p>
      <w:pPr>
        <w:pStyle w:val="ListParagraph"/>
        <w:numPr>
          <w:ilvl w:val="0"/>
          <w:numId w:val="2"/>
        </w:numPr>
        <w:spacing w:after="80"/>
      </w:pPr>
      <w:r>
        <w:rPr>
          <w:color w:val="222222"/>
          <w:sz w:val="21"/>
          <w:szCs w:val="21"/>
        </w:rPr>
        <w:t xml:space="preserve">Evaluation benchmarks: VRSBench and RSVQA for single-image captioning/grounding/VQA; CDVQA for multitemporal change-based VQA.</w:t>
      </w:r>
    </w:p>
    <w:p>
      <w:pPr>
        <w:pStyle w:val="ListParagraph"/>
        <w:numPr>
          <w:ilvl w:val="0"/>
          <w:numId w:val="2"/>
        </w:numPr>
        <w:spacing w:after="80"/>
      </w:pPr>
      <w:r>
        <w:rPr>
          <w:color w:val="222222"/>
          <w:sz w:val="21"/>
          <w:szCs w:val="21"/>
        </w:rPr>
        <w:t xml:space="preserve">Institutional evaluation: pre-georeferenced, co-registered Cartosat-2S optical and RISAT SAR pairs (ISRO/SAC set) — architecture must handle Indian satellite data natively, not just Sentinel data.</w:t>
      </w:r>
    </w:p>
    <w:p>
      <w:pPr>
        <w:pStyle w:val="ListParagraph"/>
        <w:numPr>
          <w:ilvl w:val="0"/>
          <w:numId w:val="2"/>
        </w:numPr>
        <w:spacing w:after="80"/>
      </w:pPr>
      <w:r>
        <w:rPr>
          <w:color w:val="222222"/>
          <w:sz w:val="21"/>
          <w:szCs w:val="21"/>
        </w:rPr>
        <w:t xml:space="preserve">Given hackathon time constraints, prioritize parameter-efficient fine-tuning (LoRA/QLoRA) of an open-source remote-sensing VLM (e.g., a GeoChat/RS-adapted base) over training from scratch.</w:t>
      </w:r>
    </w:p>
    <w:p>
      <w:r>
        <w:br w:type="page"/>
      </w:r>
    </w:p>
    <w:p>
      <w:pPr>
        <w:pStyle w:val="Heading1"/>
        <w:pBdr>
          <w:bottom w:val="single" w:color="0E7C7B" w:sz="6" w:space="4"/>
        </w:pBdr>
        <w:spacing w:after="200" w:before="400"/>
      </w:pPr>
      <w:r>
        <w:rPr>
          <w:b/>
          <w:bCs/>
          <w:color w:val="1B2A4A"/>
          <w:sz w:val="30"/>
          <w:szCs w:val="30"/>
        </w:rPr>
        <w:t xml:space="preserve">7. Innovation &amp; Competitive Differentiators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B2A4A" w:val="clear"/>
            <w:tcMar>
              <w:top w:type="dxa" w:w="100"/>
              <w:left w:type="dxa" w:w="120"/>
              <w:bottom w:type="dxa" w:w="100"/>
              <w:right w:type="dxa" w:w="120"/>
            </w:tcMar>
            <w:vAlign w:val="center"/>
          </w:tcPr>
          <w:p>
            <w:r>
              <w:rPr>
                <w:b/>
                <w:bCs/>
                <w:color w:val="FFFFFF"/>
                <w:sz w:val="19"/>
                <w:szCs w:val="19"/>
              </w:rPr>
              <w:t xml:space="preserve">Differentiator</w:t>
            </w:r>
          </w:p>
        </w:tc>
        <w:tc>
          <w:tcPr>
            <w:tcW w:type="dxa" w:w="6400"/>
            <w:shd w:fill="1B2A4A" w:val="clear"/>
            <w:tcMar>
              <w:top w:type="dxa" w:w="100"/>
              <w:left w:type="dxa" w:w="120"/>
              <w:bottom w:type="dxa" w:w="100"/>
              <w:right w:type="dxa" w:w="120"/>
            </w:tcMar>
            <w:vAlign w:val="center"/>
          </w:tcPr>
          <w:p>
            <w:r>
              <w:rPr>
                <w:b/>
                <w:bCs/>
                <w:color w:val="FFFFFF"/>
                <w:sz w:val="19"/>
                <w:szCs w:val="19"/>
              </w:rPr>
              <w:t xml:space="preserve">Why It Matters to Judges</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Dual-track single core</w:t>
            </w:r>
          </w:p>
        </w:tc>
        <w:tc>
          <w:tcPr>
            <w:tcW w:type="dxa" w:w="6400"/>
            <w:tcMar>
              <w:top w:type="dxa" w:w="100"/>
              <w:left w:type="dxa" w:w="120"/>
              <w:bottom w:type="dxa" w:w="100"/>
              <w:right w:type="dxa" w:w="120"/>
            </w:tcMar>
            <w:vAlign w:val="center"/>
          </w:tcPr>
          <w:p>
            <w:r>
              <w:rPr>
                <w:b w:val="false"/>
                <w:bCs w:val="false"/>
                <w:color w:val="222222"/>
                <w:sz w:val="19"/>
                <w:szCs w:val="19"/>
              </w:rPr>
              <w:t xml:space="preserve">Demonstrates generalizable engineering, not a narrow point solution — one architecture, two ministries served</w:t>
            </w:r>
          </w:p>
        </w:tc>
      </w:tr>
      <w:tr>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Confidence-scored, evidence-grounded answers</w:t>
            </w:r>
          </w:p>
        </w:tc>
        <w:tc>
          <w:tcPr>
            <w:tcW w:type="dxa" w:w="6400"/>
            <w:shd w:fill="F2F2F2" w:val="clear"/>
            <w:tcMar>
              <w:top w:type="dxa" w:w="100"/>
              <w:left w:type="dxa" w:w="120"/>
              <w:bottom w:type="dxa" w:w="100"/>
              <w:right w:type="dxa" w:w="120"/>
            </w:tcMar>
            <w:vAlign w:val="center"/>
          </w:tcPr>
          <w:p>
            <w:r>
              <w:rPr>
                <w:b w:val="false"/>
                <w:bCs w:val="false"/>
                <w:color w:val="222222"/>
                <w:sz w:val="19"/>
                <w:szCs w:val="19"/>
              </w:rPr>
              <w:t xml:space="preserve">Directly counters the #1 weakness judges flag in VLM demos: unverifiable hallucination</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Machine-auditable execution trace</w:t>
            </w:r>
          </w:p>
        </w:tc>
        <w:tc>
          <w:tcPr>
            <w:tcW w:type="dxa" w:w="6400"/>
            <w:tcMar>
              <w:top w:type="dxa" w:w="100"/>
              <w:left w:type="dxa" w:w="120"/>
              <w:bottom w:type="dxa" w:w="100"/>
              <w:right w:type="dxa" w:w="120"/>
            </w:tcMar>
            <w:vAlign w:val="center"/>
          </w:tcPr>
          <w:p>
            <w:r>
              <w:rPr>
                <w:b w:val="false"/>
                <w:bCs w:val="false"/>
                <w:color w:val="222222"/>
                <w:sz w:val="19"/>
                <w:szCs w:val="19"/>
              </w:rPr>
              <w:t xml:space="preserve">Matches exactly what PS26167 says will be evaluated — the observable trace, not hidden reasoning</w:t>
            </w:r>
          </w:p>
        </w:tc>
      </w:tr>
      <w:tr>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Graceful failure handling</w:t>
            </w:r>
          </w:p>
        </w:tc>
        <w:tc>
          <w:tcPr>
            <w:tcW w:type="dxa" w:w="6400"/>
            <w:shd w:fill="F2F2F2" w:val="clear"/>
            <w:tcMar>
              <w:top w:type="dxa" w:w="100"/>
              <w:left w:type="dxa" w:w="120"/>
              <w:bottom w:type="dxa" w:w="100"/>
              <w:right w:type="dxa" w:w="120"/>
            </w:tcMar>
            <w:vAlign w:val="center"/>
          </w:tcPr>
          <w:p>
            <w:r>
              <w:rPr>
                <w:b w:val="false"/>
                <w:bCs w:val="false"/>
                <w:color w:val="222222"/>
                <w:sz w:val="19"/>
                <w:szCs w:val="19"/>
              </w:rPr>
              <w:t xml:space="preserve">Shows production maturity: the system asks for missing data instead of fabricating an answer</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Low-bandwidth field mode</w:t>
            </w:r>
          </w:p>
        </w:tc>
        <w:tc>
          <w:tcPr>
            <w:tcW w:type="dxa" w:w="6400"/>
            <w:tcMar>
              <w:top w:type="dxa" w:w="100"/>
              <w:left w:type="dxa" w:w="120"/>
              <w:bottom w:type="dxa" w:w="100"/>
              <w:right w:type="dxa" w:w="120"/>
            </w:tcMar>
            <w:vAlign w:val="center"/>
          </w:tcPr>
          <w:p>
            <w:r>
              <w:rPr>
                <w:b w:val="false"/>
                <w:bCs w:val="false"/>
                <w:color w:val="222222"/>
                <w:sz w:val="19"/>
                <w:szCs w:val="19"/>
              </w:rPr>
              <w:t xml:space="preserve">Makes PS26015's rural deployment credible beyond a lab demo</w:t>
            </w:r>
          </w:p>
        </w:tc>
      </w:tr>
      <w:tr>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Report auto-generation</w:t>
            </w:r>
          </w:p>
        </w:tc>
        <w:tc>
          <w:tcPr>
            <w:tcW w:type="dxa" w:w="6400"/>
            <w:shd w:fill="F2F2F2" w:val="clear"/>
            <w:tcMar>
              <w:top w:type="dxa" w:w="100"/>
              <w:left w:type="dxa" w:w="120"/>
              <w:bottom w:type="dxa" w:w="100"/>
              <w:right w:type="dxa" w:w="120"/>
            </w:tcMar>
            <w:vAlign w:val="center"/>
          </w:tcPr>
          <w:p>
            <w:r>
              <w:rPr>
                <w:b w:val="false"/>
                <w:bCs w:val="false"/>
                <w:color w:val="222222"/>
                <w:sz w:val="19"/>
                <w:szCs w:val="19"/>
              </w:rPr>
              <w:t xml:space="preserve">Converts AI output into a governance-ready artifact administrators can actually file</w:t>
            </w:r>
          </w:p>
        </w:tc>
      </w:tr>
    </w:tbl>
    <w:p>
      <w:pPr>
        <w:pStyle w:val="Heading1"/>
        <w:pBdr>
          <w:bottom w:val="single" w:color="0E7C7B" w:sz="6" w:space="4"/>
        </w:pBdr>
        <w:spacing w:after="200" w:before="400"/>
      </w:pPr>
      <w:r>
        <w:rPr>
          <w:b/>
          <w:bCs/>
          <w:color w:val="1B2A4A"/>
          <w:sz w:val="30"/>
          <w:szCs w:val="30"/>
        </w:rPr>
        <w:t xml:space="preserve">8. Feasibility: Tech Stack &amp; Build Plan</w:t>
      </w:r>
    </w:p>
    <w:p>
      <w:pPr>
        <w:pStyle w:val="Heading2"/>
        <w:spacing w:after="120" w:before="300"/>
      </w:pPr>
      <w:r>
        <w:rPr>
          <w:b/>
          <w:bCs/>
          <w:color w:val="0E7C7B"/>
          <w:sz w:val="24"/>
          <w:szCs w:val="24"/>
        </w:rPr>
        <w:t xml:space="preserve">8.1 Recommended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000"/>
      </w:tblGrid>
      <w:tr>
        <w:trPr>
          <w:tblHeader/>
        </w:trPr>
        <w:tc>
          <w:tcPr>
            <w:tcW w:type="dxa" w:w="2200"/>
            <w:shd w:fill="1B2A4A" w:val="clear"/>
            <w:tcMar>
              <w:top w:type="dxa" w:w="100"/>
              <w:left w:type="dxa" w:w="120"/>
              <w:bottom w:type="dxa" w:w="100"/>
              <w:right w:type="dxa" w:w="120"/>
            </w:tcMar>
            <w:vAlign w:val="center"/>
          </w:tcPr>
          <w:p>
            <w:r>
              <w:rPr>
                <w:b/>
                <w:bCs/>
                <w:color w:val="FFFFFF"/>
                <w:sz w:val="19"/>
                <w:szCs w:val="19"/>
              </w:rPr>
              <w:t xml:space="preserve">Layer</w:t>
            </w:r>
          </w:p>
        </w:tc>
        <w:tc>
          <w:tcPr>
            <w:tcW w:type="dxa" w:w="3600"/>
            <w:shd w:fill="1B2A4A" w:val="clear"/>
            <w:tcMar>
              <w:top w:type="dxa" w:w="100"/>
              <w:left w:type="dxa" w:w="120"/>
              <w:bottom w:type="dxa" w:w="100"/>
              <w:right w:type="dxa" w:w="120"/>
            </w:tcMar>
            <w:vAlign w:val="center"/>
          </w:tcPr>
          <w:p>
            <w:r>
              <w:rPr>
                <w:b/>
                <w:bCs/>
                <w:color w:val="FFFFFF"/>
                <w:sz w:val="19"/>
                <w:szCs w:val="19"/>
              </w:rPr>
              <w:t xml:space="preserve">Technology Choice</w:t>
            </w:r>
          </w:p>
        </w:tc>
        <w:tc>
          <w:tcPr>
            <w:tcW w:type="dxa" w:w="4000"/>
            <w:shd w:fill="1B2A4A" w:val="clear"/>
            <w:tcMar>
              <w:top w:type="dxa" w:w="100"/>
              <w:left w:type="dxa" w:w="120"/>
              <w:bottom w:type="dxa" w:w="100"/>
              <w:right w:type="dxa" w:w="120"/>
            </w:tcMar>
            <w:vAlign w:val="center"/>
          </w:tcPr>
          <w:p>
            <w:r>
              <w:rPr>
                <w:b/>
                <w:bCs/>
                <w:color w:val="FFFFFF"/>
                <w:sz w:val="19"/>
                <w:szCs w:val="19"/>
              </w:rPr>
              <w:t xml:space="preserve">Rationale</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Frontend</w:t>
            </w:r>
          </w:p>
        </w:tc>
        <w:tc>
          <w:tcPr>
            <w:tcW w:type="dxa" w:w="3600"/>
            <w:tcMar>
              <w:top w:type="dxa" w:w="100"/>
              <w:left w:type="dxa" w:w="120"/>
              <w:bottom w:type="dxa" w:w="100"/>
              <w:right w:type="dxa" w:w="120"/>
            </w:tcMar>
            <w:vAlign w:val="center"/>
          </w:tcPr>
          <w:p>
            <w:r>
              <w:rPr>
                <w:b w:val="false"/>
                <w:bCs w:val="false"/>
                <w:color w:val="222222"/>
                <w:sz w:val="19"/>
                <w:szCs w:val="19"/>
              </w:rPr>
              <w:t xml:space="preserve">React + Leaflet/Mapbox GL, Tailwind</w:t>
            </w:r>
          </w:p>
        </w:tc>
        <w:tc>
          <w:tcPr>
            <w:tcW w:type="dxa" w:w="4000"/>
            <w:tcMar>
              <w:top w:type="dxa" w:w="100"/>
              <w:left w:type="dxa" w:w="120"/>
              <w:bottom w:type="dxa" w:w="100"/>
              <w:right w:type="dxa" w:w="120"/>
            </w:tcMar>
            <w:vAlign w:val="center"/>
          </w:tcPr>
          <w:p>
            <w:r>
              <w:rPr>
                <w:b w:val="false"/>
                <w:bCs w:val="false"/>
                <w:color w:val="222222"/>
                <w:sz w:val="19"/>
                <w:szCs w:val="19"/>
              </w:rPr>
              <w:t xml:space="preserve">Fast to build, strong geospatial map support</w:t>
            </w:r>
          </w:p>
        </w:tc>
      </w:tr>
      <w:tr>
        <w:tc>
          <w:tcPr>
            <w:tcW w:type="dxa" w:w="2200"/>
            <w:shd w:fill="F2F2F2" w:val="clear"/>
            <w:tcMar>
              <w:top w:type="dxa" w:w="100"/>
              <w:left w:type="dxa" w:w="120"/>
              <w:bottom w:type="dxa" w:w="100"/>
              <w:right w:type="dxa" w:w="120"/>
            </w:tcMar>
            <w:vAlign w:val="center"/>
          </w:tcPr>
          <w:p>
            <w:r>
              <w:rPr>
                <w:b w:val="false"/>
                <w:bCs w:val="false"/>
                <w:color w:val="222222"/>
                <w:sz w:val="19"/>
                <w:szCs w:val="19"/>
              </w:rPr>
              <w:t xml:space="preserve">Backend / Orchestration</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FastAPI + LangGraph (or custom tool-router)</w:t>
            </w:r>
          </w:p>
        </w:tc>
        <w:tc>
          <w:tcPr>
            <w:tcW w:type="dxa" w:w="4000"/>
            <w:shd w:fill="F2F2F2" w:val="clear"/>
            <w:tcMar>
              <w:top w:type="dxa" w:w="100"/>
              <w:left w:type="dxa" w:w="120"/>
              <w:bottom w:type="dxa" w:w="100"/>
              <w:right w:type="dxa" w:w="120"/>
            </w:tcMar>
            <w:vAlign w:val="center"/>
          </w:tcPr>
          <w:p>
            <w:r>
              <w:rPr>
                <w:b w:val="false"/>
                <w:bCs w:val="false"/>
                <w:color w:val="222222"/>
                <w:sz w:val="19"/>
                <w:szCs w:val="19"/>
              </w:rPr>
              <w:t xml:space="preserve">Lightweight agentic control flow, easy tool registry pattern</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VLM Core</w:t>
            </w:r>
          </w:p>
        </w:tc>
        <w:tc>
          <w:tcPr>
            <w:tcW w:type="dxa" w:w="3600"/>
            <w:tcMar>
              <w:top w:type="dxa" w:w="100"/>
              <w:left w:type="dxa" w:w="120"/>
              <w:bottom w:type="dxa" w:w="100"/>
              <w:right w:type="dxa" w:w="120"/>
            </w:tcMar>
            <w:vAlign w:val="center"/>
          </w:tcPr>
          <w:p>
            <w:r>
              <w:rPr>
                <w:b w:val="false"/>
                <w:bCs w:val="false"/>
                <w:color w:val="222222"/>
                <w:sz w:val="19"/>
                <w:szCs w:val="19"/>
              </w:rPr>
              <w:t xml:space="preserve">Open-source RS-adapted VLM, LoRA-tuned on BigEarthNet subset</w:t>
            </w:r>
          </w:p>
        </w:tc>
        <w:tc>
          <w:tcPr>
            <w:tcW w:type="dxa" w:w="4000"/>
            <w:tcMar>
              <w:top w:type="dxa" w:w="100"/>
              <w:left w:type="dxa" w:w="120"/>
              <w:bottom w:type="dxa" w:w="100"/>
              <w:right w:type="dxa" w:w="120"/>
            </w:tcMar>
            <w:vAlign w:val="center"/>
          </w:tcPr>
          <w:p>
            <w:r>
              <w:rPr>
                <w:b w:val="false"/>
                <w:bCs w:val="false"/>
                <w:color w:val="222222"/>
                <w:sz w:val="19"/>
                <w:szCs w:val="19"/>
              </w:rPr>
              <w:t xml:space="preserve">Avoids training from scratch within hackathon time budget</w:t>
            </w:r>
          </w:p>
        </w:tc>
      </w:tr>
      <w:tr>
        <w:tc>
          <w:tcPr>
            <w:tcW w:type="dxa" w:w="2200"/>
            <w:shd w:fill="F2F2F2" w:val="clear"/>
            <w:tcMar>
              <w:top w:type="dxa" w:w="100"/>
              <w:left w:type="dxa" w:w="120"/>
              <w:bottom w:type="dxa" w:w="100"/>
              <w:right w:type="dxa" w:w="120"/>
            </w:tcMar>
            <w:vAlign w:val="center"/>
          </w:tcPr>
          <w:p>
            <w:r>
              <w:rPr>
                <w:b w:val="false"/>
                <w:bCs w:val="false"/>
                <w:color w:val="222222"/>
                <w:sz w:val="19"/>
                <w:szCs w:val="19"/>
              </w:rPr>
              <w:t xml:space="preserve">Grounding</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Grounding DINO + SAM (pretrained, light fine-tune)</w:t>
            </w:r>
          </w:p>
        </w:tc>
        <w:tc>
          <w:tcPr>
            <w:tcW w:type="dxa" w:w="4000"/>
            <w:shd w:fill="F2F2F2" w:val="clear"/>
            <w:tcMar>
              <w:top w:type="dxa" w:w="100"/>
              <w:left w:type="dxa" w:w="120"/>
              <w:bottom w:type="dxa" w:w="100"/>
              <w:right w:type="dxa" w:w="120"/>
            </w:tcMar>
            <w:vAlign w:val="center"/>
          </w:tcPr>
          <w:p>
            <w:r>
              <w:rPr>
                <w:b w:val="false"/>
                <w:bCs w:val="false"/>
                <w:color w:val="222222"/>
                <w:sz w:val="19"/>
                <w:szCs w:val="19"/>
              </w:rPr>
              <w:t xml:space="preserve">Mature, fast to integrate, strong zero-shot grounding</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Change Detection</w:t>
            </w:r>
          </w:p>
        </w:tc>
        <w:tc>
          <w:tcPr>
            <w:tcW w:type="dxa" w:w="3600"/>
            <w:tcMar>
              <w:top w:type="dxa" w:w="100"/>
              <w:left w:type="dxa" w:w="120"/>
              <w:bottom w:type="dxa" w:w="100"/>
              <w:right w:type="dxa" w:w="120"/>
            </w:tcMar>
            <w:vAlign w:val="center"/>
          </w:tcPr>
          <w:p>
            <w:r>
              <w:rPr>
                <w:b w:val="false"/>
                <w:bCs w:val="false"/>
                <w:color w:val="222222"/>
                <w:sz w:val="19"/>
                <w:szCs w:val="19"/>
              </w:rPr>
              <w:t xml:space="preserve">ChangeFormer (pretrained on CDVQA subset)</w:t>
            </w:r>
          </w:p>
        </w:tc>
        <w:tc>
          <w:tcPr>
            <w:tcW w:type="dxa" w:w="4000"/>
            <w:tcMar>
              <w:top w:type="dxa" w:w="100"/>
              <w:left w:type="dxa" w:w="120"/>
              <w:bottom w:type="dxa" w:w="100"/>
              <w:right w:type="dxa" w:w="120"/>
            </w:tcMar>
            <w:vAlign w:val="center"/>
          </w:tcPr>
          <w:p>
            <w:r>
              <w:rPr>
                <w:b w:val="false"/>
                <w:bCs w:val="false"/>
                <w:color w:val="222222"/>
                <w:sz w:val="19"/>
                <w:szCs w:val="19"/>
              </w:rPr>
              <w:t xml:space="preserve">Purpose-built Siamese architecture for bi-temporal change</w:t>
            </w:r>
          </w:p>
        </w:tc>
      </w:tr>
      <w:tr>
        <w:tc>
          <w:tcPr>
            <w:tcW w:type="dxa" w:w="2200"/>
            <w:shd w:fill="F2F2F2" w:val="clear"/>
            <w:tcMar>
              <w:top w:type="dxa" w:w="100"/>
              <w:left w:type="dxa" w:w="120"/>
              <w:bottom w:type="dxa" w:w="100"/>
              <w:right w:type="dxa" w:w="120"/>
            </w:tcMar>
            <w:vAlign w:val="center"/>
          </w:tcPr>
          <w:p>
            <w:r>
              <w:rPr>
                <w:b w:val="false"/>
                <w:bCs w:val="false"/>
                <w:color w:val="222222"/>
                <w:sz w:val="19"/>
                <w:szCs w:val="19"/>
              </w:rPr>
              <w:t xml:space="preserve">Geospatial Processing</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GDAL, Rasterio, PyProj</w:t>
            </w:r>
          </w:p>
        </w:tc>
        <w:tc>
          <w:tcPr>
            <w:tcW w:type="dxa" w:w="4000"/>
            <w:shd w:fill="F2F2F2" w:val="clear"/>
            <w:tcMar>
              <w:top w:type="dxa" w:w="100"/>
              <w:left w:type="dxa" w:w="120"/>
              <w:bottom w:type="dxa" w:w="100"/>
              <w:right w:type="dxa" w:w="120"/>
            </w:tcMar>
            <w:vAlign w:val="center"/>
          </w:tcPr>
          <w:p>
            <w:r>
              <w:rPr>
                <w:b w:val="false"/>
                <w:bCs w:val="false"/>
                <w:color w:val="222222"/>
                <w:sz w:val="19"/>
                <w:szCs w:val="19"/>
              </w:rPr>
              <w:t xml:space="preserve">Industry-standard CRS/format handling</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Storage</w:t>
            </w:r>
          </w:p>
        </w:tc>
        <w:tc>
          <w:tcPr>
            <w:tcW w:type="dxa" w:w="3600"/>
            <w:tcMar>
              <w:top w:type="dxa" w:w="100"/>
              <w:left w:type="dxa" w:w="120"/>
              <w:bottom w:type="dxa" w:w="100"/>
              <w:right w:type="dxa" w:w="120"/>
            </w:tcMar>
            <w:vAlign w:val="center"/>
          </w:tcPr>
          <w:p>
            <w:r>
              <w:rPr>
                <w:b w:val="false"/>
                <w:bCs w:val="false"/>
                <w:color w:val="222222"/>
                <w:sz w:val="19"/>
                <w:szCs w:val="19"/>
              </w:rPr>
              <w:t xml:space="preserve">PostGIS / S3-compatible object store</w:t>
            </w:r>
          </w:p>
        </w:tc>
        <w:tc>
          <w:tcPr>
            <w:tcW w:type="dxa" w:w="4000"/>
            <w:tcMar>
              <w:top w:type="dxa" w:w="100"/>
              <w:left w:type="dxa" w:w="120"/>
              <w:bottom w:type="dxa" w:w="100"/>
              <w:right w:type="dxa" w:w="120"/>
            </w:tcMar>
            <w:vAlign w:val="center"/>
          </w:tcPr>
          <w:p>
            <w:r>
              <w:rPr>
                <w:b w:val="false"/>
                <w:bCs w:val="false"/>
                <w:color w:val="222222"/>
                <w:sz w:val="19"/>
                <w:szCs w:val="19"/>
              </w:rPr>
              <w:t xml:space="preserve">Spatial queries + large raster storage</w:t>
            </w:r>
          </w:p>
        </w:tc>
      </w:tr>
      <w:tr>
        <w:tc>
          <w:tcPr>
            <w:tcW w:type="dxa" w:w="2200"/>
            <w:shd w:fill="F2F2F2" w:val="clear"/>
            <w:tcMar>
              <w:top w:type="dxa" w:w="100"/>
              <w:left w:type="dxa" w:w="120"/>
              <w:bottom w:type="dxa" w:w="100"/>
              <w:right w:type="dxa" w:w="120"/>
            </w:tcMar>
            <w:vAlign w:val="center"/>
          </w:tcPr>
          <w:p>
            <w:r>
              <w:rPr>
                <w:b w:val="false"/>
                <w:bCs w:val="false"/>
                <w:color w:val="222222"/>
                <w:sz w:val="19"/>
                <w:szCs w:val="19"/>
              </w:rPr>
              <w:t xml:space="preserve">Deployment</w:t>
            </w:r>
          </w:p>
        </w:tc>
        <w:tc>
          <w:tcPr>
            <w:tcW w:type="dxa" w:w="3600"/>
            <w:shd w:fill="F2F2F2" w:val="clear"/>
            <w:tcMar>
              <w:top w:type="dxa" w:w="100"/>
              <w:left w:type="dxa" w:w="120"/>
              <w:bottom w:type="dxa" w:w="100"/>
              <w:right w:type="dxa" w:w="120"/>
            </w:tcMar>
            <w:vAlign w:val="center"/>
          </w:tcPr>
          <w:p>
            <w:r>
              <w:rPr>
                <w:b w:val="false"/>
                <w:bCs w:val="false"/>
                <w:color w:val="222222"/>
                <w:sz w:val="19"/>
                <w:szCs w:val="19"/>
              </w:rPr>
              <w:t xml:space="preserve">Docker Compose; GPU inference via Colab/Kaggle or cloud credits</w:t>
            </w:r>
          </w:p>
        </w:tc>
        <w:tc>
          <w:tcPr>
            <w:tcW w:type="dxa" w:w="4000"/>
            <w:shd w:fill="F2F2F2" w:val="clear"/>
            <w:tcMar>
              <w:top w:type="dxa" w:w="100"/>
              <w:left w:type="dxa" w:w="120"/>
              <w:bottom w:type="dxa" w:w="100"/>
              <w:right w:type="dxa" w:w="120"/>
            </w:tcMar>
            <w:vAlign w:val="center"/>
          </w:tcPr>
          <w:p>
            <w:r>
              <w:rPr>
                <w:b w:val="false"/>
                <w:bCs w:val="false"/>
                <w:color w:val="222222"/>
                <w:sz w:val="19"/>
                <w:szCs w:val="19"/>
              </w:rPr>
              <w:t xml:space="preserve">Reproducible, judge-runnable demo</w:t>
            </w:r>
          </w:p>
        </w:tc>
      </w:tr>
    </w:tbl>
    <w:p>
      <w:pPr>
        <w:spacing w:after="100"/>
      </w:pPr>
    </w:p>
    <w:p>
      <w:pPr>
        <w:pStyle w:val="Heading2"/>
        <w:spacing w:after="120" w:before="300"/>
      </w:pPr>
      <w:r>
        <w:rPr>
          <w:b/>
          <w:bCs/>
          <w:color w:val="0E7C7B"/>
          <w:sz w:val="24"/>
          <w:szCs w:val="24"/>
        </w:rPr>
        <w:t xml:space="preserve">8.2 Build Sequencing Principle</w:t>
      </w:r>
    </w:p>
    <w:p>
      <w:pPr>
        <w:spacing w:after="160" w:line="276"/>
      </w:pPr>
      <w:r>
        <w:rPr>
          <w:color w:val="222222"/>
          <w:sz w:val="21"/>
          <w:szCs w:val="21"/>
        </w:rPr>
        <w:t xml:space="preserve">Given hackathon time constraints, the team should not attempt to fine-tune every model from scratch. Prioritize: (1) get pretrained/lightly-adapted models working end-to-end through the orchestrator first, (2) fine-tune only the single highest-impact component (the core VLM on BigEarthNet) with LoRA, (3) polish the presentation and auditability layer last, since that is what judges directly interact with.</w:t>
      </w:r>
    </w:p>
    <w:p>
      <w:pPr>
        <w:pStyle w:val="Heading1"/>
        <w:pBdr>
          <w:bottom w:val="single" w:color="0E7C7B" w:sz="6" w:space="4"/>
        </w:pBdr>
        <w:spacing w:after="200" w:before="400"/>
      </w:pPr>
      <w:r>
        <w:rPr>
          <w:b/>
          <w:bCs/>
          <w:color w:val="1B2A4A"/>
          <w:sz w:val="30"/>
          <w:szCs w:val="30"/>
        </w:rPr>
        <w:t xml:space="preserve">9. Impact, Scalability &amp; Real-World Alignment</w:t>
      </w:r>
    </w:p>
    <w:p>
      <w:pPr>
        <w:pStyle w:val="ListParagraph"/>
        <w:numPr>
          <w:ilvl w:val="0"/>
          <w:numId w:val="2"/>
        </w:numPr>
        <w:spacing w:after="80"/>
      </w:pPr>
      <w:r>
        <w:rPr>
          <w:color w:val="222222"/>
          <w:sz w:val="21"/>
          <w:szCs w:val="21"/>
        </w:rPr>
        <w:t xml:space="preserve">Direct alignment with DoLR's watershed monitoring mandate — reduces reliance on manual field surveys and enables evidence-based decision-making at scale.</w:t>
      </w:r>
    </w:p>
    <w:p>
      <w:pPr>
        <w:pStyle w:val="ListParagraph"/>
        <w:numPr>
          <w:ilvl w:val="0"/>
          <w:numId w:val="2"/>
        </w:numPr>
        <w:spacing w:after="80"/>
      </w:pPr>
      <w:r>
        <w:rPr>
          <w:color w:val="222222"/>
          <w:sz w:val="21"/>
          <w:szCs w:val="21"/>
        </w:rPr>
        <w:t xml:space="preserve">Reusable across other MoRD/ISRO geospatial programs (forestry, disaster response, urban planning) without re-architecting the core.</w:t>
      </w:r>
    </w:p>
    <w:p>
      <w:pPr>
        <w:pStyle w:val="ListParagraph"/>
        <w:numPr>
          <w:ilvl w:val="0"/>
          <w:numId w:val="2"/>
        </w:numPr>
        <w:spacing w:after="80"/>
      </w:pPr>
      <w:r>
        <w:rPr>
          <w:color w:val="222222"/>
          <w:sz w:val="21"/>
          <w:szCs w:val="21"/>
        </w:rPr>
        <w:t xml:space="preserve">Scales horizontally: adding a new specialist tool to the registry (e.g., flood-extent mapping) does not require touching the orchestration layer.</w:t>
      </w:r>
    </w:p>
    <w:p>
      <w:pPr>
        <w:pStyle w:val="ListParagraph"/>
        <w:numPr>
          <w:ilvl w:val="0"/>
          <w:numId w:val="2"/>
        </w:numPr>
        <w:spacing w:after="80"/>
      </w:pPr>
      <w:r>
        <w:rPr>
          <w:color w:val="222222"/>
          <w:sz w:val="21"/>
          <w:szCs w:val="21"/>
        </w:rPr>
        <w:t xml:space="preserve">Supports India's broader Digital Public Infrastructure goals by making satellite intelligence accessible to non-expert government users via natural language.</w:t>
      </w:r>
    </w:p>
    <w:p>
      <w:r>
        <w:br w:type="page"/>
      </w:r>
    </w:p>
    <w:p>
      <w:pPr>
        <w:pStyle w:val="Heading1"/>
        <w:pBdr>
          <w:bottom w:val="single" w:color="0E7C7B" w:sz="6" w:space="4"/>
        </w:pBdr>
        <w:spacing w:after="200" w:before="400"/>
      </w:pPr>
      <w:r>
        <w:rPr>
          <w:b/>
          <w:bCs/>
          <w:color w:val="1B2A4A"/>
          <w:sz w:val="30"/>
          <w:szCs w:val="30"/>
        </w:rPr>
        <w:t xml:space="preserve">10. Evaluation Strategy — Mapped to Judging Criteria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Criterion</w:t>
            </w:r>
          </w:p>
        </w:tc>
        <w:tc>
          <w:tcPr>
            <w:tcW w:type="dxa" w:w="3400"/>
            <w:shd w:fill="1B2A4A" w:val="clear"/>
            <w:tcMar>
              <w:top w:type="dxa" w:w="100"/>
              <w:left w:type="dxa" w:w="120"/>
              <w:bottom w:type="dxa" w:w="100"/>
              <w:right w:type="dxa" w:w="120"/>
            </w:tcMar>
            <w:vAlign w:val="center"/>
          </w:tcPr>
          <w:p>
            <w:r>
              <w:rPr>
                <w:b/>
                <w:bCs/>
                <w:color w:val="FFFFFF"/>
                <w:sz w:val="19"/>
                <w:szCs w:val="19"/>
              </w:rPr>
              <w:t xml:space="preserve">Benchmark / Dataset</w:t>
            </w:r>
          </w:p>
        </w:tc>
        <w:tc>
          <w:tcPr>
            <w:tcW w:type="dxa" w:w="3800"/>
            <w:shd w:fill="1B2A4A" w:val="clear"/>
            <w:tcMar>
              <w:top w:type="dxa" w:w="100"/>
              <w:left w:type="dxa" w:w="120"/>
              <w:bottom w:type="dxa" w:w="100"/>
              <w:right w:type="dxa" w:w="120"/>
            </w:tcMar>
            <w:vAlign w:val="center"/>
          </w:tcPr>
          <w:p>
            <w:r>
              <w:rPr>
                <w:b/>
                <w:bCs/>
                <w:color w:val="FFFFFF"/>
                <w:sz w:val="19"/>
                <w:szCs w:val="19"/>
              </w:rPr>
              <w:t xml:space="preserve">Our Preparation</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Single-image adaptation</w:t>
            </w:r>
          </w:p>
        </w:tc>
        <w:tc>
          <w:tcPr>
            <w:tcW w:type="dxa" w:w="3400"/>
            <w:tcMar>
              <w:top w:type="dxa" w:w="100"/>
              <w:left w:type="dxa" w:w="120"/>
              <w:bottom w:type="dxa" w:w="100"/>
              <w:right w:type="dxa" w:w="120"/>
            </w:tcMar>
            <w:vAlign w:val="center"/>
          </w:tcPr>
          <w:p>
            <w:r>
              <w:rPr>
                <w:b w:val="false"/>
                <w:bCs w:val="false"/>
                <w:color w:val="222222"/>
                <w:sz w:val="19"/>
                <w:szCs w:val="19"/>
              </w:rPr>
              <w:t xml:space="preserve">VRSBench, RSVQA test splits</w:t>
            </w:r>
          </w:p>
        </w:tc>
        <w:tc>
          <w:tcPr>
            <w:tcW w:type="dxa" w:w="3800"/>
            <w:tcMar>
              <w:top w:type="dxa" w:w="100"/>
              <w:left w:type="dxa" w:w="120"/>
              <w:bottom w:type="dxa" w:w="100"/>
              <w:right w:type="dxa" w:w="120"/>
            </w:tcMar>
            <w:vAlign w:val="center"/>
          </w:tcPr>
          <w:p>
            <w:r>
              <w:rPr>
                <w:b w:val="false"/>
                <w:bCs w:val="false"/>
                <w:color w:val="222222"/>
                <w:sz w:val="19"/>
                <w:szCs w:val="19"/>
              </w:rPr>
              <w:t xml:space="preserve">Zero-shot baseline + LoRA fine-tuned comparison reported</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Change understanding</w:t>
            </w:r>
          </w:p>
        </w:tc>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CDVQA (spatial IoU + VQA accuracy)</w:t>
            </w:r>
          </w:p>
        </w:tc>
        <w:tc>
          <w:tcPr>
            <w:tcW w:type="dxa" w:w="3800"/>
            <w:shd w:fill="F2F2F2" w:val="clear"/>
            <w:tcMar>
              <w:top w:type="dxa" w:w="100"/>
              <w:left w:type="dxa" w:w="120"/>
              <w:bottom w:type="dxa" w:w="100"/>
              <w:right w:type="dxa" w:w="120"/>
            </w:tcMar>
            <w:vAlign w:val="center"/>
          </w:tcPr>
          <w:p>
            <w:r>
              <w:rPr>
                <w:b w:val="false"/>
                <w:bCs w:val="false"/>
                <w:color w:val="222222"/>
                <w:sz w:val="19"/>
                <w:szCs w:val="19"/>
              </w:rPr>
              <w:t xml:space="preserve">Pretrained ChangeFormer benchmarked pre-demo on held-out samples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Cross-modal robustness</w:t>
            </w:r>
          </w:p>
        </w:tc>
        <w:tc>
          <w:tcPr>
            <w:tcW w:type="dxa" w:w="3400"/>
            <w:tcMar>
              <w:top w:type="dxa" w:w="100"/>
              <w:left w:type="dxa" w:w="120"/>
              <w:bottom w:type="dxa" w:w="100"/>
              <w:right w:type="dxa" w:w="120"/>
            </w:tcMar>
            <w:vAlign w:val="center"/>
          </w:tcPr>
          <w:p>
            <w:r>
              <w:rPr>
                <w:b w:val="false"/>
                <w:bCs w:val="false"/>
                <w:color w:val="222222"/>
                <w:sz w:val="19"/>
                <w:szCs w:val="19"/>
              </w:rPr>
              <w:t xml:space="preserve">Co-registered Cartosat-2S + RISAT SAR (ISRO/SAC)</w:t>
            </w:r>
          </w:p>
        </w:tc>
        <w:tc>
          <w:tcPr>
            <w:tcW w:type="dxa" w:w="3800"/>
            <w:tcMar>
              <w:top w:type="dxa" w:w="100"/>
              <w:left w:type="dxa" w:w="120"/>
              <w:bottom w:type="dxa" w:w="100"/>
              <w:right w:type="dxa" w:w="120"/>
            </w:tcMar>
            <w:vAlign w:val="center"/>
          </w:tcPr>
          <w:p>
            <w:r>
              <w:rPr>
                <w:b w:val="false"/>
                <w:bCs w:val="false"/>
                <w:color w:val="222222"/>
                <w:sz w:val="19"/>
                <w:szCs w:val="19"/>
              </w:rPr>
              <w:t xml:space="preserve">Fusion pipeline tested on synthetic Sentinel optical-SAR pairs as proxy, documented assumptions for Indian sensor swap</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Watershed deployment</w:t>
            </w:r>
          </w:p>
        </w:tc>
        <w:tc>
          <w:tcPr>
            <w:tcW w:type="dxa" w:w="3400"/>
            <w:shd w:fill="F2F2F2" w:val="clear"/>
            <w:tcMar>
              <w:top w:type="dxa" w:w="100"/>
              <w:left w:type="dxa" w:w="120"/>
              <w:bottom w:type="dxa" w:w="100"/>
              <w:right w:type="dxa" w:w="120"/>
            </w:tcMar>
            <w:vAlign w:val="center"/>
          </w:tcPr>
          <w:p>
            <w:r>
              <w:rPr>
                <w:b w:val="false"/>
                <w:bCs w:val="false"/>
                <w:color w:val="222222"/>
                <w:sz w:val="19"/>
                <w:szCs w:val="19"/>
              </w:rPr>
              <w:t xml:space="preserve">SRISHTI-DRISHTI 30m vs. ground-truth field records</w:t>
            </w:r>
          </w:p>
        </w:tc>
        <w:tc>
          <w:tcPr>
            <w:tcW w:type="dxa" w:w="3800"/>
            <w:shd w:fill="F2F2F2" w:val="clear"/>
            <w:tcMar>
              <w:top w:type="dxa" w:w="100"/>
              <w:left w:type="dxa" w:w="120"/>
              <w:bottom w:type="dxa" w:w="100"/>
              <w:right w:type="dxa" w:w="120"/>
            </w:tcMar>
            <w:vAlign w:val="center"/>
          </w:tcPr>
          <w:p>
            <w:r>
              <w:rPr>
                <w:b w:val="false"/>
                <w:bCs w:val="false"/>
                <w:color w:val="222222"/>
                <w:sz w:val="19"/>
                <w:szCs w:val="19"/>
              </w:rPr>
              <w:t xml:space="preserve">Sample watershed AOI pre-loaded for live demo with before/after overlay</w:t>
            </w:r>
          </w:p>
        </w:tc>
      </w:tr>
    </w:tbl>
    <w:p>
      <w:pPr>
        <w:pStyle w:val="Heading1"/>
        <w:pBdr>
          <w:bottom w:val="single" w:color="0E7C7B" w:sz="6" w:space="4"/>
        </w:pBdr>
        <w:spacing w:after="200" w:before="400"/>
      </w:pPr>
      <w:r>
        <w:rPr>
          <w:b/>
          <w:bCs/>
          <w:color w:val="1B2A4A"/>
          <w:sz w:val="30"/>
          <w:szCs w:val="30"/>
        </w:rPr>
        <w:t xml:space="preserve">11. Risk Register &amp; Mitigation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B2A4A" w:val="clear"/>
            <w:tcMar>
              <w:top w:type="dxa" w:w="100"/>
              <w:left w:type="dxa" w:w="120"/>
              <w:bottom w:type="dxa" w:w="100"/>
              <w:right w:type="dxa" w:w="120"/>
            </w:tcMar>
            <w:vAlign w:val="center"/>
          </w:tcPr>
          <w:p>
            <w:r>
              <w:rPr>
                <w:b/>
                <w:bCs/>
                <w:color w:val="FFFFFF"/>
                <w:sz w:val="19"/>
                <w:szCs w:val="19"/>
              </w:rPr>
              <w:t xml:space="preserve">Risk</w:t>
            </w:r>
          </w:p>
        </w:tc>
        <w:tc>
          <w:tcPr>
            <w:tcW w:type="dxa" w:w="1600"/>
            <w:shd w:fill="1B2A4A" w:val="clear"/>
            <w:tcMar>
              <w:top w:type="dxa" w:w="100"/>
              <w:left w:type="dxa" w:w="120"/>
              <w:bottom w:type="dxa" w:w="100"/>
              <w:right w:type="dxa" w:w="120"/>
            </w:tcMar>
            <w:vAlign w:val="center"/>
          </w:tcPr>
          <w:p>
            <w:r>
              <w:rPr>
                <w:b/>
                <w:bCs/>
                <w:color w:val="FFFFFF"/>
                <w:sz w:val="19"/>
                <w:szCs w:val="19"/>
              </w:rPr>
              <w:t xml:space="preserve">Likelihood</w:t>
            </w:r>
          </w:p>
        </w:tc>
        <w:tc>
          <w:tcPr>
            <w:tcW w:type="dxa" w:w="4600"/>
            <w:shd w:fill="1B2A4A" w:val="clear"/>
            <w:tcMar>
              <w:top w:type="dxa" w:w="100"/>
              <w:left w:type="dxa" w:w="120"/>
              <w:bottom w:type="dxa" w:w="100"/>
              <w:right w:type="dxa" w:w="120"/>
            </w:tcMar>
            <w:vAlign w:val="center"/>
          </w:tcPr>
          <w:p>
            <w:r>
              <w:rPr>
                <w:b/>
                <w:bCs/>
                <w:color w:val="FFFFFF"/>
                <w:sz w:val="19"/>
                <w:szCs w:val="19"/>
              </w:rPr>
              <w:t xml:space="preserve">Mitigation</w:t>
            </w:r>
          </w:p>
        </w:tc>
      </w:tr>
      <w:tr>
        <w:tc>
          <w:tcPr>
            <w:tcW w:type="dxa" w:w="3200"/>
            <w:tcMar>
              <w:top w:type="dxa" w:w="100"/>
              <w:left w:type="dxa" w:w="120"/>
              <w:bottom w:type="dxa" w:w="100"/>
              <w:right w:type="dxa" w:w="120"/>
            </w:tcMar>
            <w:vAlign w:val="center"/>
          </w:tcPr>
          <w:p>
            <w:r>
              <w:rPr>
                <w:b w:val="false"/>
                <w:bCs w:val="false"/>
                <w:color w:val="222222"/>
                <w:sz w:val="19"/>
                <w:szCs w:val="19"/>
              </w:rPr>
              <w:t xml:space="preserve">Fine-tuning time exceeds hackathon window</w:t>
            </w:r>
          </w:p>
        </w:tc>
        <w:tc>
          <w:tcPr>
            <w:tcW w:type="dxa" w:w="1600"/>
            <w:tcMar>
              <w:top w:type="dxa" w:w="100"/>
              <w:left w:type="dxa" w:w="120"/>
              <w:bottom w:type="dxa" w:w="100"/>
              <w:right w:type="dxa" w:w="120"/>
            </w:tcMar>
            <w:vAlign w:val="center"/>
          </w:tcPr>
          <w:p>
            <w:r>
              <w:rPr>
                <w:b w:val="false"/>
                <w:bCs w:val="false"/>
                <w:color w:val="222222"/>
                <w:sz w:val="19"/>
                <w:szCs w:val="19"/>
              </w:rPr>
              <w:t xml:space="preserve">High</w:t>
            </w:r>
          </w:p>
        </w:tc>
        <w:tc>
          <w:tcPr>
            <w:tcW w:type="dxa" w:w="4600"/>
            <w:tcMar>
              <w:top w:type="dxa" w:w="100"/>
              <w:left w:type="dxa" w:w="120"/>
              <w:bottom w:type="dxa" w:w="100"/>
              <w:right w:type="dxa" w:w="120"/>
            </w:tcMar>
            <w:vAlign w:val="center"/>
          </w:tcPr>
          <w:p>
            <w:r>
              <w:rPr>
                <w:b w:val="false"/>
                <w:bCs w:val="false"/>
                <w:color w:val="222222"/>
                <w:sz w:val="19"/>
                <w:szCs w:val="19"/>
              </w:rPr>
              <w:t xml:space="preserve">Use parameter-efficient LoRA on a small curated BigEarthNet subset; keep pretrained fallback</w:t>
            </w:r>
          </w:p>
        </w:tc>
      </w:tr>
      <w:tr>
        <w:tc>
          <w:tcPr>
            <w:tcW w:type="dxa" w:w="3200"/>
            <w:shd w:fill="F2F2F2" w:val="clear"/>
            <w:tcMar>
              <w:top w:type="dxa" w:w="100"/>
              <w:left w:type="dxa" w:w="120"/>
              <w:bottom w:type="dxa" w:w="100"/>
              <w:right w:type="dxa" w:w="120"/>
            </w:tcMar>
            <w:vAlign w:val="center"/>
          </w:tcPr>
          <w:p>
            <w:r>
              <w:rPr>
                <w:b w:val="false"/>
                <w:bCs w:val="false"/>
                <w:color w:val="222222"/>
                <w:sz w:val="19"/>
                <w:szCs w:val="19"/>
              </w:rPr>
              <w:t xml:space="preserve">No access to real Cartosat-2S/RISAT pairs before judging</w:t>
            </w:r>
          </w:p>
        </w:tc>
        <w:tc>
          <w:tcPr>
            <w:tcW w:type="dxa" w:w="1600"/>
            <w:shd w:fill="F2F2F2" w:val="clear"/>
            <w:tcMar>
              <w:top w:type="dxa" w:w="100"/>
              <w:left w:type="dxa" w:w="120"/>
              <w:bottom w:type="dxa" w:w="100"/>
              <w:right w:type="dxa" w:w="120"/>
            </w:tcMar>
            <w:vAlign w:val="center"/>
          </w:tcPr>
          <w:p>
            <w:r>
              <w:rPr>
                <w:b w:val="false"/>
                <w:bCs w:val="false"/>
                <w:color w:val="222222"/>
                <w:sz w:val="19"/>
                <w:szCs w:val="19"/>
              </w:rPr>
              <w:t xml:space="preserve">Medium</w:t>
            </w:r>
          </w:p>
        </w:tc>
        <w:tc>
          <w:tcPr>
            <w:tcW w:type="dxa" w:w="4600"/>
            <w:shd w:fill="F2F2F2" w:val="clear"/>
            <w:tcMar>
              <w:top w:type="dxa" w:w="100"/>
              <w:left w:type="dxa" w:w="120"/>
              <w:bottom w:type="dxa" w:w="100"/>
              <w:right w:type="dxa" w:w="120"/>
            </w:tcMar>
            <w:vAlign w:val="center"/>
          </w:tcPr>
          <w:p>
            <w:r>
              <w:rPr>
                <w:b w:val="false"/>
                <w:bCs w:val="false"/>
                <w:color w:val="222222"/>
                <w:sz w:val="19"/>
                <w:szCs w:val="19"/>
              </w:rPr>
              <w:t xml:space="preserve">Use Sentinel-1/2 as documented proxy; clearly state assumptions in demo</w:t>
            </w:r>
          </w:p>
        </w:tc>
      </w:tr>
      <w:tr>
        <w:tc>
          <w:tcPr>
            <w:tcW w:type="dxa" w:w="3200"/>
            <w:tcMar>
              <w:top w:type="dxa" w:w="100"/>
              <w:left w:type="dxa" w:w="120"/>
              <w:bottom w:type="dxa" w:w="100"/>
              <w:right w:type="dxa" w:w="120"/>
            </w:tcMar>
            <w:vAlign w:val="center"/>
          </w:tcPr>
          <w:p>
            <w:r>
              <w:rPr>
                <w:b w:val="false"/>
                <w:bCs w:val="false"/>
                <w:color w:val="222222"/>
                <w:sz w:val="19"/>
                <w:szCs w:val="19"/>
              </w:rPr>
              <w:t xml:space="preserve">Live demo network/GPU failure</w:t>
            </w:r>
          </w:p>
        </w:tc>
        <w:tc>
          <w:tcPr>
            <w:tcW w:type="dxa" w:w="1600"/>
            <w:tcMar>
              <w:top w:type="dxa" w:w="100"/>
              <w:left w:type="dxa" w:w="120"/>
              <w:bottom w:type="dxa" w:w="100"/>
              <w:right w:type="dxa" w:w="120"/>
            </w:tcMar>
            <w:vAlign w:val="center"/>
          </w:tcPr>
          <w:p>
            <w:r>
              <w:rPr>
                <w:b w:val="false"/>
                <w:bCs w:val="false"/>
                <w:color w:val="222222"/>
                <w:sz w:val="19"/>
                <w:szCs w:val="19"/>
              </w:rPr>
              <w:t xml:space="preserve">Medium</w:t>
            </w:r>
          </w:p>
        </w:tc>
        <w:tc>
          <w:tcPr>
            <w:tcW w:type="dxa" w:w="4600"/>
            <w:tcMar>
              <w:top w:type="dxa" w:w="100"/>
              <w:left w:type="dxa" w:w="120"/>
              <w:bottom w:type="dxa" w:w="100"/>
              <w:right w:type="dxa" w:w="120"/>
            </w:tcMar>
            <w:vAlign w:val="center"/>
          </w:tcPr>
          <w:p>
            <w:r>
              <w:rPr>
                <w:b w:val="false"/>
                <w:bCs w:val="false"/>
                <w:color w:val="222222"/>
                <w:sz w:val="19"/>
                <w:szCs w:val="19"/>
              </w:rPr>
              <w:t xml:space="preserve">Pre-recorded fallback run + cached execution traces for all demo queries</w:t>
            </w:r>
          </w:p>
        </w:tc>
      </w:tr>
      <w:tr>
        <w:tc>
          <w:tcPr>
            <w:tcW w:type="dxa" w:w="3200"/>
            <w:shd w:fill="F2F2F2" w:val="clear"/>
            <w:tcMar>
              <w:top w:type="dxa" w:w="100"/>
              <w:left w:type="dxa" w:w="120"/>
              <w:bottom w:type="dxa" w:w="100"/>
              <w:right w:type="dxa" w:w="120"/>
            </w:tcMar>
            <w:vAlign w:val="center"/>
          </w:tcPr>
          <w:p>
            <w:r>
              <w:rPr>
                <w:b w:val="false"/>
                <w:bCs w:val="false"/>
                <w:color w:val="222222"/>
                <w:sz w:val="19"/>
                <w:szCs w:val="19"/>
              </w:rPr>
              <w:t xml:space="preserve">Scope creep across two problem statements</w:t>
            </w:r>
          </w:p>
        </w:tc>
        <w:tc>
          <w:tcPr>
            <w:tcW w:type="dxa" w:w="1600"/>
            <w:shd w:fill="F2F2F2" w:val="clear"/>
            <w:tcMar>
              <w:top w:type="dxa" w:w="100"/>
              <w:left w:type="dxa" w:w="120"/>
              <w:bottom w:type="dxa" w:w="100"/>
              <w:right w:type="dxa" w:w="120"/>
            </w:tcMar>
            <w:vAlign w:val="center"/>
          </w:tcPr>
          <w:p>
            <w:r>
              <w:rPr>
                <w:b w:val="false"/>
                <w:bCs w:val="false"/>
                <w:color w:val="222222"/>
                <w:sz w:val="19"/>
                <w:szCs w:val="19"/>
              </w:rPr>
              <w:t xml:space="preserve">High</w:t>
            </w:r>
          </w:p>
        </w:tc>
        <w:tc>
          <w:tcPr>
            <w:tcW w:type="dxa" w:w="4600"/>
            <w:shd w:fill="F2F2F2" w:val="clear"/>
            <w:tcMar>
              <w:top w:type="dxa" w:w="100"/>
              <w:left w:type="dxa" w:w="120"/>
              <w:bottom w:type="dxa" w:w="100"/>
              <w:right w:type="dxa" w:w="120"/>
            </w:tcMar>
            <w:vAlign w:val="center"/>
          </w:tcPr>
          <w:p>
            <w:r>
              <w:rPr>
                <w:b w:val="false"/>
                <w:bCs w:val="false"/>
                <w:color w:val="222222"/>
                <w:sz w:val="19"/>
                <w:szCs w:val="19"/>
              </w:rPr>
              <w:t xml:space="preserve">Freeze MVP scope early (Section 5 checklist); treat extras as stretch goals only</w:t>
            </w:r>
          </w:p>
        </w:tc>
      </w:tr>
    </w:tbl>
    <w:p>
      <w:r>
        <w:br w:type="page"/>
      </w:r>
    </w:p>
    <w:p>
      <w:pPr>
        <w:pStyle w:val="Heading1"/>
        <w:pBdr>
          <w:bottom w:val="single" w:color="0E7C7B" w:sz="6" w:space="4"/>
        </w:pBdr>
        <w:spacing w:after="200" w:before="400"/>
      </w:pPr>
      <w:r>
        <w:rPr>
          <w:b/>
          <w:bCs/>
          <w:color w:val="1B2A4A"/>
          <w:sz w:val="30"/>
          <w:szCs w:val="30"/>
        </w:rPr>
        <w:t xml:space="preserve">12. Implementation Roadmap (Hackathon Sprint)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20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Phase</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Timeframe</w:t>
            </w:r>
          </w:p>
        </w:tc>
        <w:tc>
          <w:tcPr>
            <w:tcW w:type="dxa" w:w="4200"/>
            <w:shd w:fill="1B2A4A" w:val="clear"/>
            <w:tcMar>
              <w:top w:type="dxa" w:w="100"/>
              <w:left w:type="dxa" w:w="120"/>
              <w:bottom w:type="dxa" w:w="100"/>
              <w:right w:type="dxa" w:w="120"/>
            </w:tcMar>
            <w:vAlign w:val="center"/>
          </w:tcPr>
          <w:p>
            <w:r>
              <w:rPr>
                <w:b/>
                <w:bCs/>
                <w:color w:val="FFFFFF"/>
                <w:sz w:val="19"/>
                <w:szCs w:val="19"/>
              </w:rPr>
              <w:t xml:space="preserve">Focus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Phase 1 — Foundation</w:t>
            </w:r>
          </w:p>
        </w:tc>
        <w:tc>
          <w:tcPr>
            <w:tcW w:type="dxa" w:w="2000"/>
            <w:tcMar>
              <w:top w:type="dxa" w:w="100"/>
              <w:left w:type="dxa" w:w="120"/>
              <w:bottom w:type="dxa" w:w="100"/>
              <w:right w:type="dxa" w:w="120"/>
            </w:tcMar>
            <w:vAlign w:val="center"/>
          </w:tcPr>
          <w:p>
            <w:r>
              <w:rPr>
                <w:b w:val="false"/>
                <w:bCs w:val="false"/>
                <w:color w:val="222222"/>
                <w:sz w:val="19"/>
                <w:szCs w:val="19"/>
              </w:rPr>
              <w:t xml:space="preserve">Hrs 0–8</w:t>
            </w:r>
          </w:p>
        </w:tc>
        <w:tc>
          <w:tcPr>
            <w:tcW w:type="dxa" w:w="4200"/>
            <w:tcMar>
              <w:top w:type="dxa" w:w="100"/>
              <w:left w:type="dxa" w:w="120"/>
              <w:bottom w:type="dxa" w:w="100"/>
              <w:right w:type="dxa" w:w="120"/>
            </w:tcMar>
            <w:vAlign w:val="center"/>
          </w:tcPr>
          <w:p>
            <w:r>
              <w:rPr>
                <w:b w:val="false"/>
                <w:bCs w:val="false"/>
                <w:color w:val="222222"/>
                <w:sz w:val="19"/>
                <w:szCs w:val="19"/>
              </w:rPr>
              <w:t xml:space="preserve">Repo setup, data ingestion (GDAL/Rasterio), orchestrator skeleton, tool-registry interface</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Phase 2 — Core Models</w:t>
            </w:r>
          </w:p>
        </w:tc>
        <w:tc>
          <w:tcPr>
            <w:tcW w:type="dxa" w:w="2000"/>
            <w:shd w:fill="F2F2F2" w:val="clear"/>
            <w:tcMar>
              <w:top w:type="dxa" w:w="100"/>
              <w:left w:type="dxa" w:w="120"/>
              <w:bottom w:type="dxa" w:w="100"/>
              <w:right w:type="dxa" w:w="120"/>
            </w:tcMar>
            <w:vAlign w:val="center"/>
          </w:tcPr>
          <w:p>
            <w:r>
              <w:rPr>
                <w:b w:val="false"/>
                <w:bCs w:val="false"/>
                <w:color w:val="222222"/>
                <w:sz w:val="19"/>
                <w:szCs w:val="19"/>
              </w:rPr>
              <w:t xml:space="preserve">Hrs 8–20</w:t>
            </w:r>
          </w:p>
        </w:tc>
        <w:tc>
          <w:tcPr>
            <w:tcW w:type="dxa" w:w="4200"/>
            <w:shd w:fill="F2F2F2" w:val="clear"/>
            <w:tcMar>
              <w:top w:type="dxa" w:w="100"/>
              <w:left w:type="dxa" w:w="120"/>
              <w:bottom w:type="dxa" w:w="100"/>
              <w:right w:type="dxa" w:w="120"/>
            </w:tcMar>
            <w:vAlign w:val="center"/>
          </w:tcPr>
          <w:p>
            <w:r>
              <w:rPr>
                <w:b w:val="false"/>
                <w:bCs w:val="false"/>
                <w:color w:val="222222"/>
                <w:sz w:val="19"/>
                <w:szCs w:val="19"/>
              </w:rPr>
              <w:t xml:space="preserve">Integrate pretrained VQA/grounding/change models; LoRA fine-tune VLM on BigEarthNet subset</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Phase 3 — Fusion &amp; Watershed</w:t>
            </w:r>
          </w:p>
        </w:tc>
        <w:tc>
          <w:tcPr>
            <w:tcW w:type="dxa" w:w="2000"/>
            <w:tcMar>
              <w:top w:type="dxa" w:w="100"/>
              <w:left w:type="dxa" w:w="120"/>
              <w:bottom w:type="dxa" w:w="100"/>
              <w:right w:type="dxa" w:w="120"/>
            </w:tcMar>
            <w:vAlign w:val="center"/>
          </w:tcPr>
          <w:p>
            <w:r>
              <w:rPr>
                <w:b w:val="false"/>
                <w:bCs w:val="false"/>
                <w:color w:val="222222"/>
                <w:sz w:val="19"/>
                <w:szCs w:val="19"/>
              </w:rPr>
              <w:t xml:space="preserve">Hrs 20–28</w:t>
            </w:r>
          </w:p>
        </w:tc>
        <w:tc>
          <w:tcPr>
            <w:tcW w:type="dxa" w:w="4200"/>
            <w:tcMar>
              <w:top w:type="dxa" w:w="100"/>
              <w:left w:type="dxa" w:w="120"/>
              <w:bottom w:type="dxa" w:w="100"/>
              <w:right w:type="dxa" w:w="120"/>
            </w:tcMar>
            <w:vAlign w:val="center"/>
          </w:tcPr>
          <w:p>
            <w:r>
              <w:rPr>
                <w:b w:val="false"/>
                <w:bCs w:val="false"/>
                <w:color w:val="222222"/>
                <w:sz w:val="19"/>
                <w:szCs w:val="19"/>
              </w:rPr>
              <w:t xml:space="preserve">Optical-SAR fusion module; SRISHTI-DRISHTI watershed analytics integration</w:t>
            </w:r>
          </w:p>
        </w:tc>
      </w:tr>
      <w:tr>
        <w:tc>
          <w:tcPr>
            <w:tcW w:type="dxa" w:w="2600"/>
            <w:shd w:fill="F2F2F2" w:val="clear"/>
            <w:tcMar>
              <w:top w:type="dxa" w:w="100"/>
              <w:left w:type="dxa" w:w="120"/>
              <w:bottom w:type="dxa" w:w="100"/>
              <w:right w:type="dxa" w:w="120"/>
            </w:tcMar>
            <w:vAlign w:val="center"/>
          </w:tcPr>
          <w:p>
            <w:r>
              <w:rPr>
                <w:b w:val="false"/>
                <w:bCs w:val="false"/>
                <w:color w:val="222222"/>
                <w:sz w:val="19"/>
                <w:szCs w:val="19"/>
              </w:rPr>
              <w:t xml:space="preserve">Phase 4 — Presentation &amp; Trace</w:t>
            </w:r>
          </w:p>
        </w:tc>
        <w:tc>
          <w:tcPr>
            <w:tcW w:type="dxa" w:w="2000"/>
            <w:shd w:fill="F2F2F2" w:val="clear"/>
            <w:tcMar>
              <w:top w:type="dxa" w:w="100"/>
              <w:left w:type="dxa" w:w="120"/>
              <w:bottom w:type="dxa" w:w="100"/>
              <w:right w:type="dxa" w:w="120"/>
            </w:tcMar>
            <w:vAlign w:val="center"/>
          </w:tcPr>
          <w:p>
            <w:r>
              <w:rPr>
                <w:b w:val="false"/>
                <w:bCs w:val="false"/>
                <w:color w:val="222222"/>
                <w:sz w:val="19"/>
                <w:szCs w:val="19"/>
              </w:rPr>
              <w:t xml:space="preserve">Hrs 28–34</w:t>
            </w:r>
          </w:p>
        </w:tc>
        <w:tc>
          <w:tcPr>
            <w:tcW w:type="dxa" w:w="4200"/>
            <w:shd w:fill="F2F2F2" w:val="clear"/>
            <w:tcMar>
              <w:top w:type="dxa" w:w="100"/>
              <w:left w:type="dxa" w:w="120"/>
              <w:bottom w:type="dxa" w:w="100"/>
              <w:right w:type="dxa" w:w="120"/>
            </w:tcMar>
            <w:vAlign w:val="center"/>
          </w:tcPr>
          <w:p>
            <w:r>
              <w:rPr>
                <w:b w:val="false"/>
                <w:bCs w:val="false"/>
                <w:color w:val="222222"/>
                <w:sz w:val="19"/>
                <w:szCs w:val="19"/>
              </w:rPr>
              <w:t xml:space="preserve">Map overlays, swipe compare, JSON execution trace, report generation</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Phase 5 — Benchmark &amp; Polish</w:t>
            </w:r>
          </w:p>
        </w:tc>
        <w:tc>
          <w:tcPr>
            <w:tcW w:type="dxa" w:w="2000"/>
            <w:tcMar>
              <w:top w:type="dxa" w:w="100"/>
              <w:left w:type="dxa" w:w="120"/>
              <w:bottom w:type="dxa" w:w="100"/>
              <w:right w:type="dxa" w:w="120"/>
            </w:tcMar>
            <w:vAlign w:val="center"/>
          </w:tcPr>
          <w:p>
            <w:r>
              <w:rPr>
                <w:b w:val="false"/>
                <w:bCs w:val="false"/>
                <w:color w:val="222222"/>
                <w:sz w:val="19"/>
                <w:szCs w:val="19"/>
              </w:rPr>
              <w:t xml:space="preserve">Hrs 34–40</w:t>
            </w:r>
          </w:p>
        </w:tc>
        <w:tc>
          <w:tcPr>
            <w:tcW w:type="dxa" w:w="4200"/>
            <w:tcMar>
              <w:top w:type="dxa" w:w="100"/>
              <w:left w:type="dxa" w:w="120"/>
              <w:bottom w:type="dxa" w:w="100"/>
              <w:right w:type="dxa" w:w="120"/>
            </w:tcMar>
            <w:vAlign w:val="center"/>
          </w:tcPr>
          <w:p>
            <w:r>
              <w:rPr>
                <w:b w:val="false"/>
                <w:bCs w:val="false"/>
                <w:color w:val="222222"/>
                <w:sz w:val="19"/>
                <w:szCs w:val="19"/>
              </w:rPr>
              <w:t xml:space="preserve">Run VRSBench/RSVQA/CDVQA samples, fix edge cases, rehearse demo narrative</w:t>
            </w:r>
          </w:p>
        </w:tc>
      </w:tr>
    </w:tbl>
    <w:p>
      <w:pPr>
        <w:pStyle w:val="Heading1"/>
        <w:pBdr>
          <w:bottom w:val="single" w:color="0E7C7B" w:sz="6" w:space="4"/>
        </w:pBdr>
        <w:spacing w:after="200" w:before="400"/>
      </w:pPr>
      <w:r>
        <w:rPr>
          <w:b/>
          <w:bCs/>
          <w:color w:val="1B2A4A"/>
          <w:sz w:val="30"/>
          <w:szCs w:val="30"/>
        </w:rPr>
        <w:t xml:space="preserve">13. Deliverables</w:t>
      </w:r>
    </w:p>
    <w:p>
      <w:pPr>
        <w:pStyle w:val="ListParagraph"/>
        <w:numPr>
          <w:ilvl w:val="0"/>
          <w:numId w:val="2"/>
        </w:numPr>
        <w:spacing w:after="80"/>
      </w:pPr>
      <w:r>
        <w:rPr>
          <w:color w:val="222222"/>
          <w:sz w:val="21"/>
          <w:szCs w:val="21"/>
        </w:rPr>
        <w:t xml:space="preserve">Interactive GUI / web application with the agentic remote-sensing AI backend (fulfills PS26167 expected solution).</w:t>
      </w:r>
    </w:p>
    <w:p>
      <w:pPr>
        <w:pStyle w:val="ListParagraph"/>
        <w:numPr>
          <w:ilvl w:val="0"/>
          <w:numId w:val="2"/>
        </w:numPr>
        <w:spacing w:after="80"/>
      </w:pPr>
      <w:r>
        <w:rPr>
          <w:color w:val="222222"/>
          <w:sz w:val="21"/>
          <w:szCs w:val="21"/>
        </w:rPr>
        <w:t xml:space="preserve">Watershed monitoring module with thematic maps (land use, drainage, vegetation, change) for DoLR use (fulfills PS26015 expected solutions a–g).</w:t>
      </w:r>
    </w:p>
    <w:p>
      <w:pPr>
        <w:pStyle w:val="ListParagraph"/>
        <w:numPr>
          <w:ilvl w:val="0"/>
          <w:numId w:val="2"/>
        </w:numPr>
        <w:spacing w:after="80"/>
      </w:pPr>
      <w:r>
        <w:rPr>
          <w:color w:val="222222"/>
          <w:sz w:val="21"/>
          <w:szCs w:val="21"/>
        </w:rPr>
        <w:t xml:space="preserve">Codebase, model weights/adapters, and a test + demonstration script.</w:t>
      </w:r>
    </w:p>
    <w:p>
      <w:pPr>
        <w:pStyle w:val="ListParagraph"/>
        <w:numPr>
          <w:ilvl w:val="0"/>
          <w:numId w:val="2"/>
        </w:numPr>
        <w:spacing w:after="80"/>
      </w:pPr>
      <w:r>
        <w:rPr>
          <w:color w:val="222222"/>
          <w:sz w:val="21"/>
          <w:szCs w:val="21"/>
        </w:rPr>
        <w:t xml:space="preserve">Machine-readable execution trace samples and a downloadable evaluation report per query.</w:t>
      </w:r>
    </w:p>
    <w:p>
      <w:pPr>
        <w:pStyle w:val="ListParagraph"/>
        <w:numPr>
          <w:ilvl w:val="0"/>
          <w:numId w:val="2"/>
        </w:numPr>
        <w:spacing w:after="80"/>
      </w:pPr>
      <w:r>
        <w:rPr>
          <w:color w:val="222222"/>
          <w:sz w:val="21"/>
          <w:szCs w:val="21"/>
        </w:rPr>
        <w:t xml:space="preserve">Final PRD and pitch deck aligned to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2026-08-24T10:26:19.541Z</dcterms:created>
  <dcterms:modified xsi:type="dcterms:W3CDTF">2026-08-24T10:26:19.555Z</dcterms:modified>
</cp:coreProperties>
</file>

<file path=docProps/custom.xml><?xml version="1.0" encoding="utf-8"?>
<Properties xmlns="http://schemas.openxmlformats.org/officeDocument/2006/custom-properties" xmlns:vt="http://schemas.openxmlformats.org/officeDocument/2006/docPropsVTypes"/>
</file>