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E7B45" w14:textId="77777777" w:rsidR="006C5AF9" w:rsidRPr="009C14F1" w:rsidRDefault="00000000">
      <w:pPr>
        <w:rPr>
          <w:sz w:val="23"/>
          <w:szCs w:val="23"/>
        </w:rPr>
      </w:pPr>
      <w:r w:rsidRPr="009C14F1">
        <w:rPr>
          <w:rFonts w:ascii="Calibri" w:eastAsia="Calibri" w:hAnsi="Calibri" w:cs="Calibri"/>
          <w:b/>
          <w:bCs/>
          <w:caps/>
          <w:color w:val="1F3864"/>
          <w:sz w:val="23"/>
          <w:szCs w:val="23"/>
        </w:rPr>
        <w:t>CREDIT MEMORANDUM</w:t>
      </w:r>
    </w:p>
    <w:p w14:paraId="30EBE36E" w14:textId="77777777" w:rsidR="006C5AF9" w:rsidRPr="009C14F1" w:rsidRDefault="00000000">
      <w:pPr>
        <w:jc w:val="both"/>
        <w:rPr>
          <w:sz w:val="21"/>
          <w:szCs w:val="21"/>
        </w:rPr>
      </w:pPr>
      <w:r w:rsidRPr="009C14F1">
        <w:rPr>
          <w:rFonts w:ascii="Calibri" w:eastAsia="Calibri" w:hAnsi="Calibri" w:cs="Calibri"/>
          <w:b/>
          <w:bCs/>
          <w:color w:val="000000"/>
          <w:sz w:val="21"/>
          <w:szCs w:val="21"/>
        </w:rPr>
        <w:t>ADENTRA Inc. (TSX: ADEN)</w:t>
      </w:r>
    </w:p>
    <w:p w14:paraId="6480B2DF" w14:textId="5EAAAB9E" w:rsidR="006C5AF9" w:rsidRPr="009C14F1" w:rsidRDefault="00000000">
      <w:pPr>
        <w:pBdr>
          <w:bottom w:val="single" w:sz="6" w:space="1" w:color="1F3864"/>
        </w:pBdr>
        <w:spacing w:after="80"/>
        <w:jc w:val="both"/>
        <w:rPr>
          <w:rFonts w:ascii="Calibri" w:eastAsia="Calibri" w:hAnsi="Calibri" w:cs="Calibri"/>
          <w:i/>
          <w:iCs/>
          <w:color w:val="555555"/>
          <w:sz w:val="17"/>
          <w:szCs w:val="17"/>
        </w:rPr>
      </w:pPr>
      <w:r w:rsidRPr="009C14F1">
        <w:rPr>
          <w:rFonts w:ascii="Calibri" w:eastAsia="Calibri" w:hAnsi="Calibri" w:cs="Calibri"/>
          <w:i/>
          <w:iCs/>
          <w:color w:val="555555"/>
          <w:sz w:val="17"/>
          <w:szCs w:val="17"/>
        </w:rPr>
        <w:t xml:space="preserve">April 23, </w:t>
      </w:r>
      <w:r w:rsidR="009C14F1" w:rsidRPr="009C14F1">
        <w:rPr>
          <w:rFonts w:ascii="Calibri" w:eastAsia="Calibri" w:hAnsi="Calibri" w:cs="Calibri"/>
          <w:i/>
          <w:iCs/>
          <w:color w:val="555555"/>
          <w:sz w:val="17"/>
          <w:szCs w:val="17"/>
        </w:rPr>
        <w:t>2026,</w:t>
      </w:r>
      <w:r w:rsidR="009C14F1" w:rsidRPr="009C14F1">
        <w:rPr>
          <w:rFonts w:ascii="Calibri" w:eastAsia="Calibri" w:hAnsi="Calibri" w:cs="Calibri"/>
          <w:color w:val="AAAAAA"/>
          <w:sz w:val="17"/>
          <w:szCs w:val="17"/>
        </w:rPr>
        <w:t xml:space="preserve"> | </w:t>
      </w:r>
      <w:r w:rsidR="009C14F1" w:rsidRPr="009C14F1">
        <w:rPr>
          <w:rFonts w:ascii="Calibri" w:eastAsia="Calibri" w:hAnsi="Calibri" w:cs="Calibri"/>
          <w:i/>
          <w:iCs/>
          <w:color w:val="555555"/>
          <w:sz w:val="17"/>
          <w:szCs w:val="17"/>
        </w:rPr>
        <w:t>Confidential</w:t>
      </w:r>
      <w:r w:rsidRPr="009C14F1">
        <w:rPr>
          <w:rFonts w:ascii="Calibri" w:eastAsia="Calibri" w:hAnsi="Calibri" w:cs="Calibri"/>
          <w:i/>
          <w:iCs/>
          <w:color w:val="555555"/>
          <w:sz w:val="17"/>
          <w:szCs w:val="17"/>
        </w:rPr>
        <w:t xml:space="preserve"> — For Internal Use </w:t>
      </w:r>
      <w:r w:rsidR="009C14F1" w:rsidRPr="009C14F1">
        <w:rPr>
          <w:rFonts w:ascii="Calibri" w:eastAsia="Calibri" w:hAnsi="Calibri" w:cs="Calibri"/>
          <w:i/>
          <w:iCs/>
          <w:color w:val="555555"/>
          <w:sz w:val="17"/>
          <w:szCs w:val="17"/>
        </w:rPr>
        <w:t>Only</w:t>
      </w:r>
      <w:r w:rsidR="009C14F1">
        <w:rPr>
          <w:rFonts w:ascii="Calibri" w:eastAsia="Calibri" w:hAnsi="Calibri" w:cs="Calibri"/>
          <w:i/>
          <w:iCs/>
          <w:color w:val="555555"/>
          <w:sz w:val="17"/>
          <w:szCs w:val="17"/>
        </w:rPr>
        <w:t xml:space="preserve"> </w:t>
      </w:r>
      <w:r w:rsidR="009C14F1" w:rsidRPr="009C14F1">
        <w:rPr>
          <w:rFonts w:ascii="Calibri" w:eastAsia="Calibri" w:hAnsi="Calibri" w:cs="Calibri"/>
          <w:i/>
          <w:iCs/>
          <w:color w:val="555555"/>
          <w:sz w:val="17"/>
          <w:szCs w:val="17"/>
        </w:rPr>
        <w:t>| Analyst: Yuvrraj Rajput</w:t>
      </w:r>
      <w:r w:rsidR="009C14F1" w:rsidRPr="009C14F1">
        <w:rPr>
          <w:rFonts w:ascii="Calibri" w:eastAsia="Calibri" w:hAnsi="Calibri" w:cs="Calibri"/>
          <w:i/>
          <w:iCs/>
          <w:color w:val="555555"/>
          <w:sz w:val="17"/>
          <w:szCs w:val="17"/>
        </w:rPr>
        <w:t xml:space="preserve">  </w:t>
      </w:r>
    </w:p>
    <w:p w14:paraId="385B12E4" w14:textId="77777777" w:rsidR="006C5AF9" w:rsidRPr="009C14F1" w:rsidRDefault="00000000">
      <w:pPr>
        <w:pBdr>
          <w:bottom w:val="single" w:sz="6" w:space="1" w:color="1F3864"/>
        </w:pBdr>
        <w:spacing w:before="100" w:after="40"/>
        <w:jc w:val="both"/>
        <w:rPr>
          <w:sz w:val="19"/>
          <w:szCs w:val="19"/>
        </w:rPr>
      </w:pPr>
      <w:r w:rsidRPr="009C14F1">
        <w:rPr>
          <w:rFonts w:ascii="Calibri" w:eastAsia="Calibri" w:hAnsi="Calibri" w:cs="Calibri"/>
          <w:b/>
          <w:bCs/>
          <w:caps/>
          <w:color w:val="1F3864"/>
          <w:sz w:val="19"/>
          <w:szCs w:val="19"/>
        </w:rPr>
        <w:t>Executive Summary</w:t>
      </w:r>
    </w:p>
    <w:p w14:paraId="18F094AA" w14:textId="2B2B047B" w:rsidR="006C5AF9" w:rsidRPr="009C14F1" w:rsidRDefault="00000000">
      <w:pPr>
        <w:spacing w:after="60"/>
        <w:jc w:val="both"/>
        <w:rPr>
          <w:sz w:val="19"/>
          <w:szCs w:val="19"/>
        </w:rPr>
      </w:pPr>
      <w:r w:rsidRPr="009C14F1">
        <w:rPr>
          <w:rFonts w:ascii="Calibri" w:eastAsia="Calibri" w:hAnsi="Calibri" w:cs="Calibri"/>
          <w:color w:val="000000"/>
          <w:sz w:val="19"/>
          <w:szCs w:val="19"/>
        </w:rPr>
        <w:t>ADENTRA Inc. (TSX: ADEN) is one of North America’s largest distributors of specialty architectural building products, operating 81 facilities across the US and Canada with FY2025 revenue of $2.25 billion. This memo assesses ADENTRA’s credit profile in connection with a proposed senior secured revolving credit facility. Leverage improved to 3.1x Total Debt to EBITDA in FY2025 from a cycle peak of 3.6x; the DSCR tightened to 1.20x</w:t>
      </w:r>
      <w:r w:rsidR="000B3DD1">
        <w:rPr>
          <w:rFonts w:ascii="Calibri" w:eastAsia="Calibri" w:hAnsi="Calibri" w:cs="Calibri"/>
          <w:color w:val="000000"/>
          <w:sz w:val="19"/>
          <w:szCs w:val="19"/>
        </w:rPr>
        <w:t>,</w:t>
      </w:r>
      <w:r w:rsidRPr="009C14F1">
        <w:rPr>
          <w:rFonts w:ascii="Calibri" w:eastAsia="Calibri" w:hAnsi="Calibri" w:cs="Calibri"/>
          <w:color w:val="000000"/>
          <w:sz w:val="19"/>
          <w:szCs w:val="19"/>
        </w:rPr>
        <w:t xml:space="preserve"> below the 1.25x commercial lending threshold</w:t>
      </w:r>
      <w:r w:rsidR="000B3DD1">
        <w:rPr>
          <w:rFonts w:ascii="Calibri" w:eastAsia="Calibri" w:hAnsi="Calibri" w:cs="Calibri"/>
          <w:color w:val="000000"/>
          <w:sz w:val="19"/>
          <w:szCs w:val="19"/>
        </w:rPr>
        <w:t>,</w:t>
      </w:r>
      <w:r w:rsidRPr="009C14F1">
        <w:rPr>
          <w:rFonts w:ascii="Calibri" w:eastAsia="Calibri" w:hAnsi="Calibri" w:cs="Calibri"/>
          <w:color w:val="000000"/>
          <w:sz w:val="19"/>
          <w:szCs w:val="19"/>
        </w:rPr>
        <w:t xml:space="preserve"> driven by a one-time $102.5 million term loan repayment rather than earnings deterioration, as EBITDA grew 8.7% year over year. We recommend conditional approval subject to a minimum DSCR covenant of 1.15x, maximum Total Debt to EBITDA of 3.75x, minimum interest coverage of 2.5x, and semi-annual covenant testing.</w:t>
      </w:r>
    </w:p>
    <w:p w14:paraId="6083FD72" w14:textId="77777777" w:rsidR="006C5AF9" w:rsidRPr="009C14F1" w:rsidRDefault="00000000">
      <w:pPr>
        <w:pBdr>
          <w:bottom w:val="single" w:sz="6" w:space="1" w:color="1F3864"/>
        </w:pBdr>
        <w:spacing w:before="100" w:after="40"/>
        <w:jc w:val="both"/>
        <w:rPr>
          <w:sz w:val="19"/>
          <w:szCs w:val="19"/>
        </w:rPr>
      </w:pPr>
      <w:r w:rsidRPr="009C14F1">
        <w:rPr>
          <w:rFonts w:ascii="Calibri" w:eastAsia="Calibri" w:hAnsi="Calibri" w:cs="Calibri"/>
          <w:b/>
          <w:bCs/>
          <w:caps/>
          <w:color w:val="1F3864"/>
          <w:sz w:val="19"/>
          <w:szCs w:val="19"/>
        </w:rPr>
        <w:t>Business Overview</w:t>
      </w:r>
    </w:p>
    <w:p w14:paraId="429EE764" w14:textId="77777777" w:rsidR="006C5AF9" w:rsidRPr="009C14F1" w:rsidRDefault="00000000">
      <w:pPr>
        <w:spacing w:after="50"/>
        <w:jc w:val="both"/>
        <w:rPr>
          <w:sz w:val="19"/>
          <w:szCs w:val="19"/>
        </w:rPr>
      </w:pPr>
      <w:r w:rsidRPr="009C14F1">
        <w:rPr>
          <w:rFonts w:ascii="Calibri" w:eastAsia="Calibri" w:hAnsi="Calibri" w:cs="Calibri"/>
          <w:color w:val="000000"/>
          <w:sz w:val="19"/>
          <w:szCs w:val="19"/>
        </w:rPr>
        <w:t>ADENTRA is a pure-play wholesale distributor sourcing specialty architectural building products from manufacturers across 30 or more countries and selling to three customer channels: fabricators and manufacturers, professional dealers and contractors, and home centers. Product categories span hardwood lumber, sheet goods, mouldings, millwork, stair systems, and outdoor living products. End market exposure is split roughly 40% new residential construction, 40% repair and remodel, and 15 to 20% commercial construction, with no single customer representing a material concentration.</w:t>
      </w:r>
    </w:p>
    <w:p w14:paraId="651FAD29" w14:textId="26557796" w:rsidR="006C5AF9" w:rsidRPr="009C14F1" w:rsidRDefault="00000000">
      <w:pPr>
        <w:spacing w:after="60"/>
        <w:jc w:val="both"/>
        <w:rPr>
          <w:sz w:val="19"/>
          <w:szCs w:val="19"/>
        </w:rPr>
      </w:pPr>
      <w:r w:rsidRPr="009C14F1">
        <w:rPr>
          <w:rFonts w:ascii="Calibri" w:eastAsia="Calibri" w:hAnsi="Calibri" w:cs="Calibri"/>
          <w:color w:val="000000"/>
          <w:sz w:val="19"/>
          <w:szCs w:val="19"/>
        </w:rPr>
        <w:t xml:space="preserve">The company operates 81 facilities across North America with approximately 90% of revenue </w:t>
      </w:r>
      <w:r w:rsidR="00402F24">
        <w:rPr>
          <w:rFonts w:ascii="Calibri" w:eastAsia="Calibri" w:hAnsi="Calibri" w:cs="Calibri"/>
          <w:color w:val="000000"/>
          <w:sz w:val="19"/>
          <w:szCs w:val="19"/>
        </w:rPr>
        <w:t>coming from the US</w:t>
      </w:r>
      <w:r w:rsidRPr="009C14F1">
        <w:rPr>
          <w:rFonts w:ascii="Calibri" w:eastAsia="Calibri" w:hAnsi="Calibri" w:cs="Calibri"/>
          <w:color w:val="000000"/>
          <w:sz w:val="19"/>
          <w:szCs w:val="19"/>
        </w:rPr>
        <w:t>. The Novo Distribution and Mid-Am Building Supply acquisitions in early FY2022 (combined approximately $580 million) transformed the business and prompted the rebrand from Hardwoods Distribution Inc. to ADENTRA Inc. The Woolf Distributing acquisition in July 2024 (approximately $130 million) was partially funded through a $73 million equity raise</w:t>
      </w:r>
      <w:r w:rsidR="00402F24">
        <w:rPr>
          <w:rFonts w:ascii="Calibri" w:eastAsia="Calibri" w:hAnsi="Calibri" w:cs="Calibri"/>
          <w:color w:val="000000"/>
          <w:sz w:val="19"/>
          <w:szCs w:val="19"/>
        </w:rPr>
        <w:t>,</w:t>
      </w:r>
      <w:r w:rsidRPr="009C14F1">
        <w:rPr>
          <w:rFonts w:ascii="Calibri" w:eastAsia="Calibri" w:hAnsi="Calibri" w:cs="Calibri"/>
          <w:color w:val="000000"/>
          <w:sz w:val="19"/>
          <w:szCs w:val="19"/>
        </w:rPr>
        <w:t xml:space="preserve"> management’s preference for dilution over incremental leverage. In January 2025, ADENTRA refinanced its credit facility with maturity extended to 2030 and $490.9 million of undrawn capacity at year end, the strongest liquidity position since the 2022 acquisition cycle.</w:t>
      </w:r>
      <w:r w:rsidR="000B3DD1">
        <w:rPr>
          <w:rFonts w:ascii="Calibri" w:eastAsia="Calibri" w:hAnsi="Calibri" w:cs="Calibri"/>
          <w:color w:val="000000"/>
          <w:sz w:val="19"/>
          <w:szCs w:val="19"/>
        </w:rPr>
        <w:t xml:space="preserve"> </w:t>
      </w:r>
    </w:p>
    <w:p w14:paraId="0B42E2D4" w14:textId="77777777" w:rsidR="006C5AF9" w:rsidRPr="009C14F1" w:rsidRDefault="00000000">
      <w:pPr>
        <w:pBdr>
          <w:bottom w:val="single" w:sz="6" w:space="1" w:color="1F3864"/>
        </w:pBdr>
        <w:spacing w:before="100" w:after="40"/>
        <w:jc w:val="both"/>
        <w:rPr>
          <w:sz w:val="19"/>
          <w:szCs w:val="19"/>
        </w:rPr>
      </w:pPr>
      <w:r w:rsidRPr="009C14F1">
        <w:rPr>
          <w:rFonts w:ascii="Calibri" w:eastAsia="Calibri" w:hAnsi="Calibri" w:cs="Calibri"/>
          <w:b/>
          <w:bCs/>
          <w:caps/>
          <w:color w:val="1F3864"/>
          <w:sz w:val="19"/>
          <w:szCs w:val="19"/>
        </w:rPr>
        <w:t>Industry and Competitive Position</w:t>
      </w:r>
    </w:p>
    <w:p w14:paraId="200485D5" w14:textId="1008E567" w:rsidR="006C5AF9" w:rsidRPr="009C14F1" w:rsidRDefault="00000000">
      <w:pPr>
        <w:spacing w:after="60"/>
        <w:jc w:val="both"/>
        <w:rPr>
          <w:sz w:val="19"/>
          <w:szCs w:val="19"/>
        </w:rPr>
      </w:pPr>
      <w:r w:rsidRPr="009C14F1">
        <w:rPr>
          <w:rFonts w:ascii="Calibri" w:eastAsia="Calibri" w:hAnsi="Calibri" w:cs="Calibri"/>
          <w:color w:val="000000"/>
          <w:sz w:val="19"/>
          <w:szCs w:val="19"/>
        </w:rPr>
        <w:t>Specialty building product distribution is a fragmented, cyclical sector tied to residential construction, repair and remodel activity, and commercial buildouts. At 81 locations, ADENTRA’s scale confers purchasing leverage and inventory breadth that regional competitors cannot replicate. Its five flagship brands operate semi-independently, preserving local customer relationships while benefiting from the corporate supply chain. A price passthrough model has defended gross margins above 20% through two years of industry-wide product price deflation</w:t>
      </w:r>
      <w:r w:rsidR="000B3DD1">
        <w:rPr>
          <w:rFonts w:ascii="Calibri" w:eastAsia="Calibri" w:hAnsi="Calibri" w:cs="Calibri"/>
          <w:color w:val="000000"/>
          <w:sz w:val="19"/>
          <w:szCs w:val="19"/>
        </w:rPr>
        <w:t>,</w:t>
      </w:r>
      <w:r w:rsidRPr="009C14F1">
        <w:rPr>
          <w:rFonts w:ascii="Calibri" w:eastAsia="Calibri" w:hAnsi="Calibri" w:cs="Calibri"/>
          <w:color w:val="000000"/>
          <w:sz w:val="19"/>
          <w:szCs w:val="19"/>
        </w:rPr>
        <w:t xml:space="preserve"> performance inconsistent with commodity distribution and reflective of a specialty product mix with lower price elasticity.</w:t>
      </w:r>
    </w:p>
    <w:p w14:paraId="688EF34D" w14:textId="77777777" w:rsidR="006C5AF9" w:rsidRPr="009C14F1" w:rsidRDefault="00000000">
      <w:pPr>
        <w:pBdr>
          <w:bottom w:val="single" w:sz="6" w:space="1" w:color="1F3864"/>
        </w:pBdr>
        <w:spacing w:before="100" w:after="40"/>
        <w:jc w:val="both"/>
        <w:rPr>
          <w:sz w:val="19"/>
          <w:szCs w:val="19"/>
        </w:rPr>
      </w:pPr>
      <w:r w:rsidRPr="009C14F1">
        <w:rPr>
          <w:rFonts w:ascii="Calibri" w:eastAsia="Calibri" w:hAnsi="Calibri" w:cs="Calibri"/>
          <w:b/>
          <w:bCs/>
          <w:caps/>
          <w:color w:val="1F3864"/>
          <w:sz w:val="19"/>
          <w:szCs w:val="19"/>
        </w:rPr>
        <w:t>Financial Analysis</w:t>
      </w:r>
    </w:p>
    <w:p w14:paraId="4F18B048" w14:textId="596CAA04" w:rsidR="006C5AF9" w:rsidRPr="009C14F1" w:rsidRDefault="00000000">
      <w:pPr>
        <w:spacing w:after="50"/>
        <w:jc w:val="both"/>
        <w:rPr>
          <w:sz w:val="19"/>
          <w:szCs w:val="19"/>
        </w:rPr>
      </w:pPr>
      <w:r w:rsidRPr="009C14F1">
        <w:rPr>
          <w:rFonts w:ascii="Calibri" w:eastAsia="Calibri" w:hAnsi="Calibri" w:cs="Calibri"/>
          <w:color w:val="000000"/>
          <w:sz w:val="19"/>
          <w:szCs w:val="19"/>
        </w:rPr>
        <w:t>Revenue peaked at $2.58 billion in FY2022, elevated by acquisition contributions and post-COVID price inflation, then contracted 13.2% in FY2023 and a further 2.8% in FY2024</w:t>
      </w:r>
      <w:r w:rsidR="00AB5EA4">
        <w:rPr>
          <w:rFonts w:ascii="Calibri" w:eastAsia="Calibri" w:hAnsi="Calibri" w:cs="Calibri"/>
          <w:color w:val="000000"/>
          <w:sz w:val="19"/>
          <w:szCs w:val="19"/>
        </w:rPr>
        <w:t>.</w:t>
      </w:r>
      <w:r w:rsidRPr="009C14F1">
        <w:rPr>
          <w:rFonts w:ascii="Calibri" w:eastAsia="Calibri" w:hAnsi="Calibri" w:cs="Calibri"/>
          <w:color w:val="000000"/>
          <w:sz w:val="19"/>
          <w:szCs w:val="19"/>
        </w:rPr>
        <w:t xml:space="preserve"> </w:t>
      </w:r>
      <w:r w:rsidR="00AB5EA4">
        <w:rPr>
          <w:rFonts w:ascii="Calibri" w:eastAsia="Calibri" w:hAnsi="Calibri" w:cs="Calibri"/>
          <w:color w:val="000000"/>
          <w:sz w:val="19"/>
          <w:szCs w:val="19"/>
        </w:rPr>
        <w:t>M</w:t>
      </w:r>
      <w:r w:rsidRPr="009C14F1">
        <w:rPr>
          <w:rFonts w:ascii="Calibri" w:eastAsia="Calibri" w:hAnsi="Calibri" w:cs="Calibri"/>
          <w:color w:val="000000"/>
          <w:sz w:val="19"/>
          <w:szCs w:val="19"/>
        </w:rPr>
        <w:t>anagement attributed approximately two thirds of the FY2023 organic decline to price deflation rather than volume loss. FY2025 revenue recovered 3.0% to $2.25 billion, though $94.3 million of that growth came from Woolf’s first full year of contribution, meaning organic volumes have not returned to FY2022 levels. Through the full cycle, gross margin held above 20% in every quarter, troughing at 20.8% in FY2023 and recovering to 21.7% by FY2025</w:t>
      </w:r>
      <w:r w:rsidR="00AB5EA4">
        <w:rPr>
          <w:rFonts w:ascii="Calibri" w:eastAsia="Calibri" w:hAnsi="Calibri" w:cs="Calibri"/>
          <w:color w:val="000000"/>
          <w:sz w:val="19"/>
          <w:szCs w:val="19"/>
        </w:rPr>
        <w:t>,</w:t>
      </w:r>
      <w:r w:rsidRPr="009C14F1">
        <w:rPr>
          <w:rFonts w:ascii="Calibri" w:eastAsia="Calibri" w:hAnsi="Calibri" w:cs="Calibri"/>
          <w:color w:val="000000"/>
          <w:sz w:val="19"/>
          <w:szCs w:val="19"/>
        </w:rPr>
        <w:t xml:space="preserve"> a demonstration of pricing discipline uncommon among distribution peers absorbing a 15% cumulative revenue decline.</w:t>
      </w:r>
    </w:p>
    <w:p w14:paraId="012F95CC" w14:textId="26650F93" w:rsidR="006C5AF9" w:rsidRPr="009C14F1" w:rsidRDefault="00000000">
      <w:pPr>
        <w:spacing w:after="60"/>
        <w:jc w:val="both"/>
        <w:rPr>
          <w:sz w:val="19"/>
          <w:szCs w:val="19"/>
        </w:rPr>
      </w:pPr>
      <w:r w:rsidRPr="009C14F1">
        <w:rPr>
          <w:rFonts w:ascii="Calibri" w:eastAsia="Calibri" w:hAnsi="Calibri" w:cs="Calibri"/>
          <w:color w:val="000000"/>
          <w:sz w:val="19"/>
          <w:szCs w:val="19"/>
        </w:rPr>
        <w:t>EBITDA fell 38% from $262 million in FY2022 to $162 million in FY2023, driven by three simultaneous headwinds: a $90.6 million gross profit decline, a $15.5 million increase in net finance expense as acquisition debt repriced at higher rates, and a $15.5 million trade duty accrual. EBITDA has since stabilized at $173 to $188 million, suggesting a normalized earnings floor at approximately 8.4% EBITDA margin. Leverage follows a deliberate trajectory: ADENTRA levered to 3.0x in FY2022, generated $238 million of operating cash flow in FY2023 and directed $223.6 million toward debt repayment, temporarily re</w:t>
      </w:r>
      <w:r w:rsidR="009C14F1">
        <w:rPr>
          <w:rFonts w:ascii="Calibri" w:eastAsia="Calibri" w:hAnsi="Calibri" w:cs="Calibri"/>
          <w:color w:val="000000"/>
          <w:sz w:val="19"/>
          <w:szCs w:val="19"/>
        </w:rPr>
        <w:t>-</w:t>
      </w:r>
      <w:r w:rsidRPr="009C14F1">
        <w:rPr>
          <w:rFonts w:ascii="Calibri" w:eastAsia="Calibri" w:hAnsi="Calibri" w:cs="Calibri"/>
          <w:color w:val="000000"/>
          <w:sz w:val="19"/>
          <w:szCs w:val="19"/>
        </w:rPr>
        <w:t>levered to fund Woolf, then recovered to 3.1x by FY2025 with net debt to capitalization improving from 52% to 32%. Operating cash flow averaged $188 million annually through the full cycle</w:t>
      </w:r>
      <w:r w:rsidR="000D3DEE">
        <w:rPr>
          <w:rFonts w:ascii="Calibri" w:eastAsia="Calibri" w:hAnsi="Calibri" w:cs="Calibri"/>
          <w:color w:val="000000"/>
          <w:sz w:val="19"/>
          <w:szCs w:val="19"/>
        </w:rPr>
        <w:t>.</w:t>
      </w:r>
      <w:r w:rsidRPr="009C14F1">
        <w:rPr>
          <w:rFonts w:ascii="Calibri" w:eastAsia="Calibri" w:hAnsi="Calibri" w:cs="Calibri"/>
          <w:color w:val="000000"/>
          <w:sz w:val="19"/>
          <w:szCs w:val="19"/>
        </w:rPr>
        <w:t xml:space="preserve"> </w:t>
      </w:r>
      <w:r w:rsidR="000D3DEE">
        <w:rPr>
          <w:rFonts w:ascii="Calibri" w:eastAsia="Calibri" w:hAnsi="Calibri" w:cs="Calibri"/>
          <w:color w:val="000000"/>
          <w:sz w:val="19"/>
          <w:szCs w:val="19"/>
        </w:rPr>
        <w:t>C</w:t>
      </w:r>
      <w:r w:rsidRPr="009C14F1">
        <w:rPr>
          <w:rFonts w:ascii="Calibri" w:eastAsia="Calibri" w:hAnsi="Calibri" w:cs="Calibri"/>
          <w:color w:val="000000"/>
          <w:sz w:val="19"/>
          <w:szCs w:val="19"/>
        </w:rPr>
        <w:t>apital expenditures are structurally modest at $10 to $14 million given the leased facility model. ADENTRA’s release of $119.8 million of working capital during FY2023</w:t>
      </w:r>
      <w:r w:rsidR="000D3DEE">
        <w:rPr>
          <w:rFonts w:ascii="Calibri" w:eastAsia="Calibri" w:hAnsi="Calibri" w:cs="Calibri"/>
          <w:color w:val="000000"/>
          <w:sz w:val="19"/>
          <w:szCs w:val="19"/>
        </w:rPr>
        <w:t>,</w:t>
      </w:r>
      <w:r w:rsidRPr="009C14F1">
        <w:rPr>
          <w:rFonts w:ascii="Calibri" w:eastAsia="Calibri" w:hAnsi="Calibri" w:cs="Calibri"/>
          <w:color w:val="000000"/>
          <w:sz w:val="19"/>
          <w:szCs w:val="19"/>
        </w:rPr>
        <w:t xml:space="preserve"> its weakest earnings year</w:t>
      </w:r>
      <w:r w:rsidR="000D3DEE">
        <w:rPr>
          <w:rFonts w:ascii="Calibri" w:eastAsia="Calibri" w:hAnsi="Calibri" w:cs="Calibri"/>
          <w:color w:val="000000"/>
          <w:sz w:val="19"/>
          <w:szCs w:val="19"/>
        </w:rPr>
        <w:t>,</w:t>
      </w:r>
      <w:r w:rsidRPr="009C14F1">
        <w:rPr>
          <w:rFonts w:ascii="Calibri" w:eastAsia="Calibri" w:hAnsi="Calibri" w:cs="Calibri"/>
          <w:color w:val="000000"/>
          <w:sz w:val="19"/>
          <w:szCs w:val="19"/>
        </w:rPr>
        <w:t xml:space="preserve"> confirms the working capital cycle functions as a genuine liquidity buffer in downturns.</w:t>
      </w:r>
    </w:p>
    <w:p w14:paraId="19926C35" w14:textId="77777777" w:rsidR="006C5AF9" w:rsidRPr="009C14F1" w:rsidRDefault="00000000">
      <w:pPr>
        <w:pBdr>
          <w:bottom w:val="single" w:sz="6" w:space="1" w:color="1F3864"/>
        </w:pBdr>
        <w:spacing w:before="100" w:after="40"/>
        <w:jc w:val="both"/>
        <w:rPr>
          <w:sz w:val="19"/>
          <w:szCs w:val="19"/>
        </w:rPr>
      </w:pPr>
      <w:r w:rsidRPr="009C14F1">
        <w:rPr>
          <w:rFonts w:ascii="Calibri" w:eastAsia="Calibri" w:hAnsi="Calibri" w:cs="Calibri"/>
          <w:b/>
          <w:bCs/>
          <w:caps/>
          <w:color w:val="1F3864"/>
          <w:sz w:val="19"/>
          <w:szCs w:val="19"/>
        </w:rPr>
        <w:t>Credit Metrics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1800"/>
        <w:gridCol w:w="1800"/>
        <w:gridCol w:w="1800"/>
      </w:tblGrid>
      <w:tr w:rsidR="006C5AF9" w:rsidRPr="009C14F1" w14:paraId="320F9091" w14:textId="77777777">
        <w:tblPrEx>
          <w:tblCellMar>
            <w:top w:w="0" w:type="dxa"/>
            <w:bottom w:w="0" w:type="dxa"/>
          </w:tblCellMar>
        </w:tblPrEx>
        <w:tc>
          <w:tcPr>
            <w:tcW w:w="2160" w:type="dxa"/>
            <w:tcBorders>
              <w:top w:val="single" w:sz="4" w:space="0" w:color="AAAAAA"/>
              <w:left w:val="single" w:sz="4" w:space="0" w:color="AAAAAA"/>
              <w:bottom w:val="single" w:sz="4" w:space="0" w:color="AAAAAA"/>
              <w:right w:val="single" w:sz="4" w:space="0" w:color="AAAAAA"/>
            </w:tcBorders>
            <w:shd w:val="clear" w:color="auto" w:fill="E8EEF4"/>
            <w:tcMar>
              <w:top w:w="60" w:type="dxa"/>
              <w:left w:w="100" w:type="dxa"/>
              <w:bottom w:w="60" w:type="dxa"/>
              <w:right w:w="100" w:type="dxa"/>
            </w:tcMar>
            <w:vAlign w:val="center"/>
          </w:tcPr>
          <w:p w14:paraId="214DF078" w14:textId="77777777" w:rsidR="006C5AF9" w:rsidRPr="009C14F1" w:rsidRDefault="00000000">
            <w:pPr>
              <w:rPr>
                <w:sz w:val="17"/>
                <w:szCs w:val="17"/>
              </w:rPr>
            </w:pPr>
            <w:r w:rsidRPr="009C14F1">
              <w:rPr>
                <w:rFonts w:ascii="Calibri" w:eastAsia="Calibri" w:hAnsi="Calibri" w:cs="Calibri"/>
                <w:b/>
                <w:bCs/>
                <w:color w:val="000000"/>
                <w:sz w:val="17"/>
                <w:szCs w:val="17"/>
              </w:rPr>
              <w:t>Metric</w:t>
            </w:r>
          </w:p>
        </w:tc>
        <w:tc>
          <w:tcPr>
            <w:tcW w:w="1800" w:type="dxa"/>
            <w:tcBorders>
              <w:top w:val="single" w:sz="4" w:space="0" w:color="AAAAAA"/>
              <w:left w:val="single" w:sz="4" w:space="0" w:color="AAAAAA"/>
              <w:bottom w:val="single" w:sz="4" w:space="0" w:color="AAAAAA"/>
              <w:right w:val="single" w:sz="4" w:space="0" w:color="AAAAAA"/>
            </w:tcBorders>
            <w:shd w:val="clear" w:color="auto" w:fill="E8EEF4"/>
            <w:tcMar>
              <w:top w:w="60" w:type="dxa"/>
              <w:left w:w="100" w:type="dxa"/>
              <w:bottom w:w="60" w:type="dxa"/>
              <w:right w:w="100" w:type="dxa"/>
            </w:tcMar>
            <w:vAlign w:val="center"/>
          </w:tcPr>
          <w:p w14:paraId="460EE7F3" w14:textId="77777777" w:rsidR="006C5AF9" w:rsidRPr="009C14F1" w:rsidRDefault="00000000">
            <w:pPr>
              <w:jc w:val="center"/>
              <w:rPr>
                <w:sz w:val="17"/>
                <w:szCs w:val="17"/>
              </w:rPr>
            </w:pPr>
            <w:r w:rsidRPr="009C14F1">
              <w:rPr>
                <w:rFonts w:ascii="Calibri" w:eastAsia="Calibri" w:hAnsi="Calibri" w:cs="Calibri"/>
                <w:b/>
                <w:bCs/>
                <w:color w:val="000000"/>
                <w:sz w:val="17"/>
                <w:szCs w:val="17"/>
              </w:rPr>
              <w:t>FY2022</w:t>
            </w:r>
          </w:p>
        </w:tc>
        <w:tc>
          <w:tcPr>
            <w:tcW w:w="1800" w:type="dxa"/>
            <w:tcBorders>
              <w:top w:val="single" w:sz="4" w:space="0" w:color="AAAAAA"/>
              <w:left w:val="single" w:sz="4" w:space="0" w:color="AAAAAA"/>
              <w:bottom w:val="single" w:sz="4" w:space="0" w:color="AAAAAA"/>
              <w:right w:val="single" w:sz="4" w:space="0" w:color="AAAAAA"/>
            </w:tcBorders>
            <w:shd w:val="clear" w:color="auto" w:fill="E8EEF4"/>
            <w:tcMar>
              <w:top w:w="60" w:type="dxa"/>
              <w:left w:w="100" w:type="dxa"/>
              <w:bottom w:w="60" w:type="dxa"/>
              <w:right w:w="100" w:type="dxa"/>
            </w:tcMar>
            <w:vAlign w:val="center"/>
          </w:tcPr>
          <w:p w14:paraId="44E527E3" w14:textId="77777777" w:rsidR="006C5AF9" w:rsidRPr="009C14F1" w:rsidRDefault="00000000">
            <w:pPr>
              <w:jc w:val="center"/>
              <w:rPr>
                <w:sz w:val="17"/>
                <w:szCs w:val="17"/>
              </w:rPr>
            </w:pPr>
            <w:r w:rsidRPr="009C14F1">
              <w:rPr>
                <w:rFonts w:ascii="Calibri" w:eastAsia="Calibri" w:hAnsi="Calibri" w:cs="Calibri"/>
                <w:b/>
                <w:bCs/>
                <w:color w:val="000000"/>
                <w:sz w:val="17"/>
                <w:szCs w:val="17"/>
              </w:rPr>
              <w:t>FY2023</w:t>
            </w:r>
          </w:p>
        </w:tc>
        <w:tc>
          <w:tcPr>
            <w:tcW w:w="1800" w:type="dxa"/>
            <w:tcBorders>
              <w:top w:val="single" w:sz="4" w:space="0" w:color="AAAAAA"/>
              <w:left w:val="single" w:sz="4" w:space="0" w:color="AAAAAA"/>
              <w:bottom w:val="single" w:sz="4" w:space="0" w:color="AAAAAA"/>
              <w:right w:val="single" w:sz="4" w:space="0" w:color="AAAAAA"/>
            </w:tcBorders>
            <w:shd w:val="clear" w:color="auto" w:fill="E8EEF4"/>
            <w:tcMar>
              <w:top w:w="60" w:type="dxa"/>
              <w:left w:w="100" w:type="dxa"/>
              <w:bottom w:w="60" w:type="dxa"/>
              <w:right w:w="100" w:type="dxa"/>
            </w:tcMar>
            <w:vAlign w:val="center"/>
          </w:tcPr>
          <w:p w14:paraId="26380017" w14:textId="77777777" w:rsidR="006C5AF9" w:rsidRPr="009C14F1" w:rsidRDefault="00000000">
            <w:pPr>
              <w:jc w:val="center"/>
              <w:rPr>
                <w:sz w:val="17"/>
                <w:szCs w:val="17"/>
              </w:rPr>
            </w:pPr>
            <w:r w:rsidRPr="009C14F1">
              <w:rPr>
                <w:rFonts w:ascii="Calibri" w:eastAsia="Calibri" w:hAnsi="Calibri" w:cs="Calibri"/>
                <w:b/>
                <w:bCs/>
                <w:color w:val="000000"/>
                <w:sz w:val="17"/>
                <w:szCs w:val="17"/>
              </w:rPr>
              <w:t>FY2024</w:t>
            </w:r>
          </w:p>
        </w:tc>
        <w:tc>
          <w:tcPr>
            <w:tcW w:w="1800" w:type="dxa"/>
            <w:tcBorders>
              <w:top w:val="single" w:sz="4" w:space="0" w:color="AAAAAA"/>
              <w:left w:val="single" w:sz="4" w:space="0" w:color="AAAAAA"/>
              <w:bottom w:val="single" w:sz="4" w:space="0" w:color="AAAAAA"/>
              <w:right w:val="single" w:sz="4" w:space="0" w:color="AAAAAA"/>
            </w:tcBorders>
            <w:shd w:val="clear" w:color="auto" w:fill="E8EEF4"/>
            <w:tcMar>
              <w:top w:w="60" w:type="dxa"/>
              <w:left w:w="100" w:type="dxa"/>
              <w:bottom w:w="60" w:type="dxa"/>
              <w:right w:w="100" w:type="dxa"/>
            </w:tcMar>
            <w:vAlign w:val="center"/>
          </w:tcPr>
          <w:p w14:paraId="4D6836EA" w14:textId="77777777" w:rsidR="006C5AF9" w:rsidRPr="009C14F1" w:rsidRDefault="00000000">
            <w:pPr>
              <w:jc w:val="center"/>
              <w:rPr>
                <w:sz w:val="17"/>
                <w:szCs w:val="17"/>
              </w:rPr>
            </w:pPr>
            <w:r w:rsidRPr="009C14F1">
              <w:rPr>
                <w:rFonts w:ascii="Calibri" w:eastAsia="Calibri" w:hAnsi="Calibri" w:cs="Calibri"/>
                <w:b/>
                <w:bCs/>
                <w:color w:val="000000"/>
                <w:sz w:val="17"/>
                <w:szCs w:val="17"/>
              </w:rPr>
              <w:t>FY2025</w:t>
            </w:r>
          </w:p>
        </w:tc>
      </w:tr>
      <w:tr w:rsidR="006C5AF9" w:rsidRPr="009C14F1" w14:paraId="389E0559" w14:textId="77777777">
        <w:tblPrEx>
          <w:tblCellMar>
            <w:top w:w="0" w:type="dxa"/>
            <w:bottom w:w="0" w:type="dxa"/>
          </w:tblCellMar>
        </w:tblPrEx>
        <w:tc>
          <w:tcPr>
            <w:tcW w:w="2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29D130" w14:textId="77777777" w:rsidR="006C5AF9" w:rsidRPr="009C14F1" w:rsidRDefault="00000000">
            <w:pPr>
              <w:rPr>
                <w:sz w:val="17"/>
                <w:szCs w:val="17"/>
              </w:rPr>
            </w:pPr>
            <w:r w:rsidRPr="009C14F1">
              <w:rPr>
                <w:rFonts w:ascii="Calibri" w:eastAsia="Calibri" w:hAnsi="Calibri" w:cs="Calibri"/>
                <w:color w:val="000000"/>
                <w:sz w:val="17"/>
                <w:szCs w:val="17"/>
              </w:rPr>
              <w:t>Total Debt / EBITDA</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14ACEFE" w14:textId="77777777" w:rsidR="006C5AF9" w:rsidRPr="009C14F1" w:rsidRDefault="00000000">
            <w:pPr>
              <w:jc w:val="center"/>
              <w:rPr>
                <w:sz w:val="17"/>
                <w:szCs w:val="17"/>
              </w:rPr>
            </w:pPr>
            <w:r w:rsidRPr="009C14F1">
              <w:rPr>
                <w:rFonts w:ascii="Calibri" w:eastAsia="Calibri" w:hAnsi="Calibri" w:cs="Calibri"/>
                <w:color w:val="000000"/>
                <w:sz w:val="17"/>
                <w:szCs w:val="17"/>
              </w:rPr>
              <w:t>3.0x</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F3B4B9" w14:textId="77777777" w:rsidR="006C5AF9" w:rsidRPr="009C14F1" w:rsidRDefault="00000000">
            <w:pPr>
              <w:jc w:val="center"/>
              <w:rPr>
                <w:sz w:val="17"/>
                <w:szCs w:val="17"/>
              </w:rPr>
            </w:pPr>
            <w:r w:rsidRPr="009C14F1">
              <w:rPr>
                <w:rFonts w:ascii="Calibri" w:eastAsia="Calibri" w:hAnsi="Calibri" w:cs="Calibri"/>
                <w:color w:val="000000"/>
                <w:sz w:val="17"/>
                <w:szCs w:val="17"/>
              </w:rPr>
              <w:t>3.5x</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68FDDD" w14:textId="77777777" w:rsidR="006C5AF9" w:rsidRPr="009C14F1" w:rsidRDefault="00000000">
            <w:pPr>
              <w:jc w:val="center"/>
              <w:rPr>
                <w:sz w:val="17"/>
                <w:szCs w:val="17"/>
              </w:rPr>
            </w:pPr>
            <w:r w:rsidRPr="009C14F1">
              <w:rPr>
                <w:rFonts w:ascii="Calibri" w:eastAsia="Calibri" w:hAnsi="Calibri" w:cs="Calibri"/>
                <w:color w:val="000000"/>
                <w:sz w:val="17"/>
                <w:szCs w:val="17"/>
              </w:rPr>
              <w:t>3.6x</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BDFED43" w14:textId="77777777" w:rsidR="006C5AF9" w:rsidRPr="009C14F1" w:rsidRDefault="00000000">
            <w:pPr>
              <w:jc w:val="center"/>
              <w:rPr>
                <w:sz w:val="17"/>
                <w:szCs w:val="17"/>
              </w:rPr>
            </w:pPr>
            <w:r w:rsidRPr="009C14F1">
              <w:rPr>
                <w:rFonts w:ascii="Calibri" w:eastAsia="Calibri" w:hAnsi="Calibri" w:cs="Calibri"/>
                <w:color w:val="000000"/>
                <w:sz w:val="17"/>
                <w:szCs w:val="17"/>
              </w:rPr>
              <w:t>3.1x</w:t>
            </w:r>
          </w:p>
        </w:tc>
      </w:tr>
      <w:tr w:rsidR="006C5AF9" w:rsidRPr="009C14F1" w14:paraId="29B1F293" w14:textId="77777777">
        <w:tblPrEx>
          <w:tblCellMar>
            <w:top w:w="0" w:type="dxa"/>
            <w:bottom w:w="0" w:type="dxa"/>
          </w:tblCellMar>
        </w:tblPrEx>
        <w:tc>
          <w:tcPr>
            <w:tcW w:w="2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13FF14A" w14:textId="77777777" w:rsidR="006C5AF9" w:rsidRPr="009C14F1" w:rsidRDefault="00000000">
            <w:pPr>
              <w:rPr>
                <w:sz w:val="17"/>
                <w:szCs w:val="17"/>
              </w:rPr>
            </w:pPr>
            <w:r w:rsidRPr="009C14F1">
              <w:rPr>
                <w:rFonts w:ascii="Calibri" w:eastAsia="Calibri" w:hAnsi="Calibri" w:cs="Calibri"/>
                <w:color w:val="000000"/>
                <w:sz w:val="17"/>
                <w:szCs w:val="17"/>
              </w:rPr>
              <w:t>Net Debt / EBITDA</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D186213" w14:textId="77777777" w:rsidR="006C5AF9" w:rsidRPr="009C14F1" w:rsidRDefault="00000000">
            <w:pPr>
              <w:jc w:val="center"/>
              <w:rPr>
                <w:sz w:val="17"/>
                <w:szCs w:val="17"/>
              </w:rPr>
            </w:pPr>
            <w:r w:rsidRPr="009C14F1">
              <w:rPr>
                <w:rFonts w:ascii="Calibri" w:eastAsia="Calibri" w:hAnsi="Calibri" w:cs="Calibri"/>
                <w:color w:val="000000"/>
                <w:sz w:val="17"/>
                <w:szCs w:val="17"/>
              </w:rPr>
              <w:t>2.8x</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77439A" w14:textId="77777777" w:rsidR="006C5AF9" w:rsidRPr="009C14F1" w:rsidRDefault="00000000">
            <w:pPr>
              <w:jc w:val="center"/>
              <w:rPr>
                <w:sz w:val="17"/>
                <w:szCs w:val="17"/>
              </w:rPr>
            </w:pPr>
            <w:r w:rsidRPr="009C14F1">
              <w:rPr>
                <w:rFonts w:ascii="Calibri" w:eastAsia="Calibri" w:hAnsi="Calibri" w:cs="Calibri"/>
                <w:color w:val="000000"/>
                <w:sz w:val="17"/>
                <w:szCs w:val="17"/>
              </w:rPr>
              <w:t>3.5x</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693679" w14:textId="77777777" w:rsidR="006C5AF9" w:rsidRPr="009C14F1" w:rsidRDefault="00000000">
            <w:pPr>
              <w:jc w:val="center"/>
              <w:rPr>
                <w:sz w:val="17"/>
                <w:szCs w:val="17"/>
              </w:rPr>
            </w:pPr>
            <w:r w:rsidRPr="009C14F1">
              <w:rPr>
                <w:rFonts w:ascii="Calibri" w:eastAsia="Calibri" w:hAnsi="Calibri" w:cs="Calibri"/>
                <w:color w:val="000000"/>
                <w:sz w:val="17"/>
                <w:szCs w:val="17"/>
              </w:rPr>
              <w:t>3.4x</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5B9D64" w14:textId="77777777" w:rsidR="006C5AF9" w:rsidRPr="009C14F1" w:rsidRDefault="00000000">
            <w:pPr>
              <w:jc w:val="center"/>
              <w:rPr>
                <w:sz w:val="17"/>
                <w:szCs w:val="17"/>
              </w:rPr>
            </w:pPr>
            <w:r w:rsidRPr="009C14F1">
              <w:rPr>
                <w:rFonts w:ascii="Calibri" w:eastAsia="Calibri" w:hAnsi="Calibri" w:cs="Calibri"/>
                <w:color w:val="000000"/>
                <w:sz w:val="17"/>
                <w:szCs w:val="17"/>
              </w:rPr>
              <w:t>3.0x</w:t>
            </w:r>
          </w:p>
        </w:tc>
      </w:tr>
      <w:tr w:rsidR="006C5AF9" w:rsidRPr="009C14F1" w14:paraId="7EDA2B85" w14:textId="77777777">
        <w:tblPrEx>
          <w:tblCellMar>
            <w:top w:w="0" w:type="dxa"/>
            <w:bottom w:w="0" w:type="dxa"/>
          </w:tblCellMar>
        </w:tblPrEx>
        <w:tc>
          <w:tcPr>
            <w:tcW w:w="2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AB3C4CD" w14:textId="77777777" w:rsidR="006C5AF9" w:rsidRPr="009C14F1" w:rsidRDefault="00000000">
            <w:pPr>
              <w:rPr>
                <w:sz w:val="17"/>
                <w:szCs w:val="17"/>
              </w:rPr>
            </w:pPr>
            <w:r w:rsidRPr="009C14F1">
              <w:rPr>
                <w:rFonts w:ascii="Calibri" w:eastAsia="Calibri" w:hAnsi="Calibri" w:cs="Calibri"/>
                <w:color w:val="000000"/>
                <w:sz w:val="17"/>
                <w:szCs w:val="17"/>
              </w:rPr>
              <w:t>Interest Coverage (EBIT/Interest)</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91A651" w14:textId="77777777" w:rsidR="006C5AF9" w:rsidRPr="009C14F1" w:rsidRDefault="00000000">
            <w:pPr>
              <w:jc w:val="center"/>
              <w:rPr>
                <w:sz w:val="17"/>
                <w:szCs w:val="17"/>
              </w:rPr>
            </w:pPr>
            <w:r w:rsidRPr="009C14F1">
              <w:rPr>
                <w:rFonts w:ascii="Calibri" w:eastAsia="Calibri" w:hAnsi="Calibri" w:cs="Calibri"/>
                <w:color w:val="000000"/>
                <w:sz w:val="17"/>
                <w:szCs w:val="17"/>
              </w:rPr>
              <w:t>6.5x</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A653F4" w14:textId="77777777" w:rsidR="006C5AF9" w:rsidRPr="009C14F1" w:rsidRDefault="00000000">
            <w:pPr>
              <w:jc w:val="center"/>
              <w:rPr>
                <w:sz w:val="17"/>
                <w:szCs w:val="17"/>
              </w:rPr>
            </w:pPr>
            <w:r w:rsidRPr="009C14F1">
              <w:rPr>
                <w:rFonts w:ascii="Calibri" w:eastAsia="Calibri" w:hAnsi="Calibri" w:cs="Calibri"/>
                <w:color w:val="000000"/>
                <w:sz w:val="17"/>
                <w:szCs w:val="17"/>
              </w:rPr>
              <w:t>2.2x</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EFB25F" w14:textId="77777777" w:rsidR="006C5AF9" w:rsidRPr="009C14F1" w:rsidRDefault="00000000">
            <w:pPr>
              <w:jc w:val="center"/>
              <w:rPr>
                <w:sz w:val="17"/>
                <w:szCs w:val="17"/>
              </w:rPr>
            </w:pPr>
            <w:r w:rsidRPr="009C14F1">
              <w:rPr>
                <w:rFonts w:ascii="Calibri" w:eastAsia="Calibri" w:hAnsi="Calibri" w:cs="Calibri"/>
                <w:color w:val="000000"/>
                <w:sz w:val="17"/>
                <w:szCs w:val="17"/>
              </w:rPr>
              <w:t>2.8x</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09AD494" w14:textId="77777777" w:rsidR="006C5AF9" w:rsidRPr="009C14F1" w:rsidRDefault="00000000">
            <w:pPr>
              <w:jc w:val="center"/>
              <w:rPr>
                <w:sz w:val="17"/>
                <w:szCs w:val="17"/>
              </w:rPr>
            </w:pPr>
            <w:r w:rsidRPr="009C14F1">
              <w:rPr>
                <w:rFonts w:ascii="Calibri" w:eastAsia="Calibri" w:hAnsi="Calibri" w:cs="Calibri"/>
                <w:color w:val="000000"/>
                <w:sz w:val="17"/>
                <w:szCs w:val="17"/>
              </w:rPr>
              <w:t>2.8x</w:t>
            </w:r>
          </w:p>
        </w:tc>
      </w:tr>
      <w:tr w:rsidR="006C5AF9" w:rsidRPr="009C14F1" w14:paraId="63A1F674" w14:textId="77777777">
        <w:tblPrEx>
          <w:tblCellMar>
            <w:top w:w="0" w:type="dxa"/>
            <w:bottom w:w="0" w:type="dxa"/>
          </w:tblCellMar>
        </w:tblPrEx>
        <w:tc>
          <w:tcPr>
            <w:tcW w:w="2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2C493F7" w14:textId="77777777" w:rsidR="006C5AF9" w:rsidRPr="009C14F1" w:rsidRDefault="00000000">
            <w:pPr>
              <w:rPr>
                <w:sz w:val="17"/>
                <w:szCs w:val="17"/>
              </w:rPr>
            </w:pPr>
            <w:r w:rsidRPr="009C14F1">
              <w:rPr>
                <w:rFonts w:ascii="Calibri" w:eastAsia="Calibri" w:hAnsi="Calibri" w:cs="Calibri"/>
                <w:color w:val="000000"/>
                <w:sz w:val="17"/>
                <w:szCs w:val="17"/>
              </w:rPr>
              <w:lastRenderedPageBreak/>
              <w:t>DSCR</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6D2DF2" w14:textId="77777777" w:rsidR="006C5AF9" w:rsidRPr="009C14F1" w:rsidRDefault="00000000">
            <w:pPr>
              <w:jc w:val="center"/>
              <w:rPr>
                <w:sz w:val="17"/>
                <w:szCs w:val="17"/>
              </w:rPr>
            </w:pPr>
            <w:r w:rsidRPr="009C14F1">
              <w:rPr>
                <w:rFonts w:ascii="Calibri" w:eastAsia="Calibri" w:hAnsi="Calibri" w:cs="Calibri"/>
                <w:color w:val="000000"/>
                <w:sz w:val="17"/>
                <w:szCs w:val="17"/>
              </w:rPr>
              <w:t>4.4x</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884DC4" w14:textId="77777777" w:rsidR="006C5AF9" w:rsidRPr="009C14F1" w:rsidRDefault="00000000">
            <w:pPr>
              <w:jc w:val="center"/>
              <w:rPr>
                <w:sz w:val="17"/>
                <w:szCs w:val="17"/>
              </w:rPr>
            </w:pPr>
            <w:r w:rsidRPr="009C14F1">
              <w:rPr>
                <w:rFonts w:ascii="Calibri" w:eastAsia="Calibri" w:hAnsi="Calibri" w:cs="Calibri"/>
                <w:color w:val="000000"/>
                <w:sz w:val="17"/>
                <w:szCs w:val="17"/>
              </w:rPr>
              <w:t>2.5x</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D1C4287" w14:textId="77777777" w:rsidR="006C5AF9" w:rsidRPr="009C14F1" w:rsidRDefault="00000000">
            <w:pPr>
              <w:jc w:val="center"/>
              <w:rPr>
                <w:sz w:val="17"/>
                <w:szCs w:val="17"/>
              </w:rPr>
            </w:pPr>
            <w:r w:rsidRPr="009C14F1">
              <w:rPr>
                <w:rFonts w:ascii="Calibri" w:eastAsia="Calibri" w:hAnsi="Calibri" w:cs="Calibri"/>
                <w:color w:val="000000"/>
                <w:sz w:val="17"/>
                <w:szCs w:val="17"/>
              </w:rPr>
              <w:t>2.0x</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310538" w14:textId="77777777" w:rsidR="006C5AF9" w:rsidRPr="009C14F1" w:rsidRDefault="00000000">
            <w:pPr>
              <w:jc w:val="center"/>
              <w:rPr>
                <w:sz w:val="17"/>
                <w:szCs w:val="17"/>
              </w:rPr>
            </w:pPr>
            <w:r w:rsidRPr="009C14F1">
              <w:rPr>
                <w:rFonts w:ascii="Calibri" w:eastAsia="Calibri" w:hAnsi="Calibri" w:cs="Calibri"/>
                <w:color w:val="000000"/>
                <w:sz w:val="17"/>
                <w:szCs w:val="17"/>
              </w:rPr>
              <w:t>1.2x</w:t>
            </w:r>
          </w:p>
        </w:tc>
      </w:tr>
      <w:tr w:rsidR="006C5AF9" w:rsidRPr="009C14F1" w14:paraId="41A800DD" w14:textId="77777777">
        <w:tblPrEx>
          <w:tblCellMar>
            <w:top w:w="0" w:type="dxa"/>
            <w:bottom w:w="0" w:type="dxa"/>
          </w:tblCellMar>
        </w:tblPrEx>
        <w:tc>
          <w:tcPr>
            <w:tcW w:w="2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778BA6C" w14:textId="77777777" w:rsidR="006C5AF9" w:rsidRPr="009C14F1" w:rsidRDefault="00000000">
            <w:pPr>
              <w:rPr>
                <w:sz w:val="17"/>
                <w:szCs w:val="17"/>
              </w:rPr>
            </w:pPr>
            <w:r w:rsidRPr="009C14F1">
              <w:rPr>
                <w:rFonts w:ascii="Calibri" w:eastAsia="Calibri" w:hAnsi="Calibri" w:cs="Calibri"/>
                <w:color w:val="000000"/>
                <w:sz w:val="17"/>
                <w:szCs w:val="17"/>
              </w:rPr>
              <w:t>Current Ratio</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94ABDB" w14:textId="77777777" w:rsidR="006C5AF9" w:rsidRPr="009C14F1" w:rsidRDefault="00000000">
            <w:pPr>
              <w:jc w:val="center"/>
              <w:rPr>
                <w:sz w:val="17"/>
                <w:szCs w:val="17"/>
              </w:rPr>
            </w:pPr>
            <w:r w:rsidRPr="009C14F1">
              <w:rPr>
                <w:rFonts w:ascii="Calibri" w:eastAsia="Calibri" w:hAnsi="Calibri" w:cs="Calibri"/>
                <w:color w:val="000000"/>
                <w:sz w:val="17"/>
                <w:szCs w:val="17"/>
              </w:rPr>
              <w:t>1.8x</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B91DC9B" w14:textId="77777777" w:rsidR="006C5AF9" w:rsidRPr="009C14F1" w:rsidRDefault="00000000">
            <w:pPr>
              <w:jc w:val="center"/>
              <w:rPr>
                <w:sz w:val="17"/>
                <w:szCs w:val="17"/>
              </w:rPr>
            </w:pPr>
            <w:r w:rsidRPr="009C14F1">
              <w:rPr>
                <w:rFonts w:ascii="Calibri" w:eastAsia="Calibri" w:hAnsi="Calibri" w:cs="Calibri"/>
                <w:color w:val="000000"/>
                <w:sz w:val="17"/>
                <w:szCs w:val="17"/>
              </w:rPr>
              <w:t>2.6x</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C8FD4E" w14:textId="77777777" w:rsidR="006C5AF9" w:rsidRPr="009C14F1" w:rsidRDefault="00000000">
            <w:pPr>
              <w:jc w:val="center"/>
              <w:rPr>
                <w:sz w:val="17"/>
                <w:szCs w:val="17"/>
              </w:rPr>
            </w:pPr>
            <w:r w:rsidRPr="009C14F1">
              <w:rPr>
                <w:rFonts w:ascii="Calibri" w:eastAsia="Calibri" w:hAnsi="Calibri" w:cs="Calibri"/>
                <w:color w:val="000000"/>
                <w:sz w:val="17"/>
                <w:szCs w:val="17"/>
              </w:rPr>
              <w:t>2.2x</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AA4865" w14:textId="77777777" w:rsidR="006C5AF9" w:rsidRPr="009C14F1" w:rsidRDefault="00000000">
            <w:pPr>
              <w:jc w:val="center"/>
              <w:rPr>
                <w:sz w:val="17"/>
                <w:szCs w:val="17"/>
              </w:rPr>
            </w:pPr>
            <w:r w:rsidRPr="009C14F1">
              <w:rPr>
                <w:rFonts w:ascii="Calibri" w:eastAsia="Calibri" w:hAnsi="Calibri" w:cs="Calibri"/>
                <w:color w:val="000000"/>
                <w:sz w:val="17"/>
                <w:szCs w:val="17"/>
              </w:rPr>
              <w:t>2.1x</w:t>
            </w:r>
          </w:p>
        </w:tc>
      </w:tr>
      <w:tr w:rsidR="006C5AF9" w:rsidRPr="009C14F1" w14:paraId="32FFD002" w14:textId="77777777">
        <w:tblPrEx>
          <w:tblCellMar>
            <w:top w:w="0" w:type="dxa"/>
            <w:bottom w:w="0" w:type="dxa"/>
          </w:tblCellMar>
        </w:tblPrEx>
        <w:tc>
          <w:tcPr>
            <w:tcW w:w="2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3604A3" w14:textId="77777777" w:rsidR="006C5AF9" w:rsidRPr="009C14F1" w:rsidRDefault="00000000">
            <w:pPr>
              <w:rPr>
                <w:sz w:val="17"/>
                <w:szCs w:val="17"/>
              </w:rPr>
            </w:pPr>
            <w:r w:rsidRPr="009C14F1">
              <w:rPr>
                <w:rFonts w:ascii="Calibri" w:eastAsia="Calibri" w:hAnsi="Calibri" w:cs="Calibri"/>
                <w:color w:val="000000"/>
                <w:sz w:val="17"/>
                <w:szCs w:val="17"/>
              </w:rPr>
              <w:t>Quick Ratio</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5CBFB3" w14:textId="77777777" w:rsidR="006C5AF9" w:rsidRPr="009C14F1" w:rsidRDefault="00000000">
            <w:pPr>
              <w:jc w:val="center"/>
              <w:rPr>
                <w:sz w:val="17"/>
                <w:szCs w:val="17"/>
              </w:rPr>
            </w:pPr>
            <w:r w:rsidRPr="009C14F1">
              <w:rPr>
                <w:rFonts w:ascii="Calibri" w:eastAsia="Calibri" w:hAnsi="Calibri" w:cs="Calibri"/>
                <w:color w:val="000000"/>
                <w:sz w:val="17"/>
                <w:szCs w:val="17"/>
              </w:rPr>
              <w:t>0.6x</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53311BD" w14:textId="77777777" w:rsidR="006C5AF9" w:rsidRPr="009C14F1" w:rsidRDefault="00000000">
            <w:pPr>
              <w:jc w:val="center"/>
              <w:rPr>
                <w:sz w:val="17"/>
                <w:szCs w:val="17"/>
              </w:rPr>
            </w:pPr>
            <w:r w:rsidRPr="009C14F1">
              <w:rPr>
                <w:rFonts w:ascii="Calibri" w:eastAsia="Calibri" w:hAnsi="Calibri" w:cs="Calibri"/>
                <w:color w:val="000000"/>
                <w:sz w:val="17"/>
                <w:szCs w:val="17"/>
              </w:rPr>
              <w:t>0.9x</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33C6617" w14:textId="77777777" w:rsidR="006C5AF9" w:rsidRPr="009C14F1" w:rsidRDefault="00000000">
            <w:pPr>
              <w:jc w:val="center"/>
              <w:rPr>
                <w:sz w:val="17"/>
                <w:szCs w:val="17"/>
              </w:rPr>
            </w:pPr>
            <w:r w:rsidRPr="009C14F1">
              <w:rPr>
                <w:rFonts w:ascii="Calibri" w:eastAsia="Calibri" w:hAnsi="Calibri" w:cs="Calibri"/>
                <w:color w:val="000000"/>
                <w:sz w:val="17"/>
                <w:szCs w:val="17"/>
              </w:rPr>
              <w:t>0.8x</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253F72" w14:textId="77777777" w:rsidR="006C5AF9" w:rsidRPr="009C14F1" w:rsidRDefault="00000000">
            <w:pPr>
              <w:jc w:val="center"/>
              <w:rPr>
                <w:sz w:val="17"/>
                <w:szCs w:val="17"/>
              </w:rPr>
            </w:pPr>
            <w:r w:rsidRPr="009C14F1">
              <w:rPr>
                <w:rFonts w:ascii="Calibri" w:eastAsia="Calibri" w:hAnsi="Calibri" w:cs="Calibri"/>
                <w:color w:val="000000"/>
                <w:sz w:val="17"/>
                <w:szCs w:val="17"/>
              </w:rPr>
              <w:t>0.7x</w:t>
            </w:r>
          </w:p>
        </w:tc>
      </w:tr>
      <w:tr w:rsidR="006C5AF9" w:rsidRPr="009C14F1" w14:paraId="7986AFBD" w14:textId="77777777">
        <w:tblPrEx>
          <w:tblCellMar>
            <w:top w:w="0" w:type="dxa"/>
            <w:bottom w:w="0" w:type="dxa"/>
          </w:tblCellMar>
        </w:tblPrEx>
        <w:tc>
          <w:tcPr>
            <w:tcW w:w="2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DB9D2B" w14:textId="77777777" w:rsidR="006C5AF9" w:rsidRPr="009C14F1" w:rsidRDefault="00000000">
            <w:pPr>
              <w:rPr>
                <w:sz w:val="17"/>
                <w:szCs w:val="17"/>
              </w:rPr>
            </w:pPr>
            <w:r w:rsidRPr="009C14F1">
              <w:rPr>
                <w:rFonts w:ascii="Calibri" w:eastAsia="Calibri" w:hAnsi="Calibri" w:cs="Calibri"/>
                <w:color w:val="000000"/>
                <w:sz w:val="17"/>
                <w:szCs w:val="17"/>
              </w:rPr>
              <w:t>DSO</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6293630" w14:textId="77777777" w:rsidR="006C5AF9" w:rsidRPr="009C14F1" w:rsidRDefault="00000000">
            <w:pPr>
              <w:jc w:val="center"/>
              <w:rPr>
                <w:sz w:val="17"/>
                <w:szCs w:val="17"/>
              </w:rPr>
            </w:pPr>
            <w:r w:rsidRPr="009C14F1">
              <w:rPr>
                <w:rFonts w:ascii="Calibri" w:eastAsia="Calibri" w:hAnsi="Calibri" w:cs="Calibri"/>
                <w:color w:val="000000"/>
                <w:sz w:val="17"/>
                <w:szCs w:val="17"/>
              </w:rPr>
              <w:t>25 days</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610B8CA" w14:textId="77777777" w:rsidR="006C5AF9" w:rsidRPr="009C14F1" w:rsidRDefault="00000000">
            <w:pPr>
              <w:jc w:val="center"/>
              <w:rPr>
                <w:sz w:val="17"/>
                <w:szCs w:val="17"/>
              </w:rPr>
            </w:pPr>
            <w:r w:rsidRPr="009C14F1">
              <w:rPr>
                <w:rFonts w:ascii="Calibri" w:eastAsia="Calibri" w:hAnsi="Calibri" w:cs="Calibri"/>
                <w:color w:val="000000"/>
                <w:sz w:val="17"/>
                <w:szCs w:val="17"/>
              </w:rPr>
              <w:t>27 days</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8DDFD8" w14:textId="77777777" w:rsidR="006C5AF9" w:rsidRPr="009C14F1" w:rsidRDefault="00000000">
            <w:pPr>
              <w:jc w:val="center"/>
              <w:rPr>
                <w:sz w:val="17"/>
                <w:szCs w:val="17"/>
              </w:rPr>
            </w:pPr>
            <w:r w:rsidRPr="009C14F1">
              <w:rPr>
                <w:rFonts w:ascii="Calibri" w:eastAsia="Calibri" w:hAnsi="Calibri" w:cs="Calibri"/>
                <w:color w:val="000000"/>
                <w:sz w:val="17"/>
                <w:szCs w:val="17"/>
              </w:rPr>
              <w:t>27 days</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D13FBA" w14:textId="77777777" w:rsidR="006C5AF9" w:rsidRPr="009C14F1" w:rsidRDefault="00000000">
            <w:pPr>
              <w:jc w:val="center"/>
              <w:rPr>
                <w:sz w:val="17"/>
                <w:szCs w:val="17"/>
              </w:rPr>
            </w:pPr>
            <w:r w:rsidRPr="009C14F1">
              <w:rPr>
                <w:rFonts w:ascii="Calibri" w:eastAsia="Calibri" w:hAnsi="Calibri" w:cs="Calibri"/>
                <w:color w:val="000000"/>
                <w:sz w:val="17"/>
                <w:szCs w:val="17"/>
              </w:rPr>
              <w:t>25 days</w:t>
            </w:r>
          </w:p>
        </w:tc>
      </w:tr>
      <w:tr w:rsidR="006C5AF9" w:rsidRPr="009C14F1" w14:paraId="62844659" w14:textId="77777777">
        <w:tblPrEx>
          <w:tblCellMar>
            <w:top w:w="0" w:type="dxa"/>
            <w:bottom w:w="0" w:type="dxa"/>
          </w:tblCellMar>
        </w:tblPrEx>
        <w:tc>
          <w:tcPr>
            <w:tcW w:w="2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10D873" w14:textId="77777777" w:rsidR="006C5AF9" w:rsidRPr="009C14F1" w:rsidRDefault="00000000">
            <w:pPr>
              <w:rPr>
                <w:sz w:val="17"/>
                <w:szCs w:val="17"/>
              </w:rPr>
            </w:pPr>
            <w:r w:rsidRPr="009C14F1">
              <w:rPr>
                <w:rFonts w:ascii="Calibri" w:eastAsia="Calibri" w:hAnsi="Calibri" w:cs="Calibri"/>
                <w:color w:val="000000"/>
                <w:sz w:val="17"/>
                <w:szCs w:val="17"/>
              </w:rPr>
              <w:t>DIO</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4C981C" w14:textId="77777777" w:rsidR="006C5AF9" w:rsidRPr="009C14F1" w:rsidRDefault="00000000">
            <w:pPr>
              <w:jc w:val="center"/>
              <w:rPr>
                <w:sz w:val="17"/>
                <w:szCs w:val="17"/>
              </w:rPr>
            </w:pPr>
            <w:r w:rsidRPr="009C14F1">
              <w:rPr>
                <w:rFonts w:ascii="Calibri" w:eastAsia="Calibri" w:hAnsi="Calibri" w:cs="Calibri"/>
                <w:color w:val="000000"/>
                <w:sz w:val="17"/>
                <w:szCs w:val="17"/>
              </w:rPr>
              <w:t>88 days</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7425F8" w14:textId="77777777" w:rsidR="006C5AF9" w:rsidRPr="009C14F1" w:rsidRDefault="00000000">
            <w:pPr>
              <w:jc w:val="center"/>
              <w:rPr>
                <w:sz w:val="17"/>
                <w:szCs w:val="17"/>
              </w:rPr>
            </w:pPr>
            <w:r w:rsidRPr="009C14F1">
              <w:rPr>
                <w:rFonts w:ascii="Calibri" w:eastAsia="Calibri" w:hAnsi="Calibri" w:cs="Calibri"/>
                <w:color w:val="000000"/>
                <w:sz w:val="17"/>
                <w:szCs w:val="17"/>
              </w:rPr>
              <w:t>75 days</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7E14C9F" w14:textId="77777777" w:rsidR="006C5AF9" w:rsidRPr="009C14F1" w:rsidRDefault="00000000">
            <w:pPr>
              <w:jc w:val="center"/>
              <w:rPr>
                <w:sz w:val="17"/>
                <w:szCs w:val="17"/>
              </w:rPr>
            </w:pPr>
            <w:r w:rsidRPr="009C14F1">
              <w:rPr>
                <w:rFonts w:ascii="Calibri" w:eastAsia="Calibri" w:hAnsi="Calibri" w:cs="Calibri"/>
                <w:color w:val="000000"/>
                <w:sz w:val="17"/>
                <w:szCs w:val="17"/>
              </w:rPr>
              <w:t>80 days</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454C13" w14:textId="77777777" w:rsidR="006C5AF9" w:rsidRPr="009C14F1" w:rsidRDefault="00000000">
            <w:pPr>
              <w:jc w:val="center"/>
              <w:rPr>
                <w:sz w:val="17"/>
                <w:szCs w:val="17"/>
              </w:rPr>
            </w:pPr>
            <w:r w:rsidRPr="009C14F1">
              <w:rPr>
                <w:rFonts w:ascii="Calibri" w:eastAsia="Calibri" w:hAnsi="Calibri" w:cs="Calibri"/>
                <w:color w:val="000000"/>
                <w:sz w:val="17"/>
                <w:szCs w:val="17"/>
              </w:rPr>
              <w:t>78 days</w:t>
            </w:r>
          </w:p>
        </w:tc>
      </w:tr>
      <w:tr w:rsidR="006C5AF9" w:rsidRPr="009C14F1" w14:paraId="425DE75F" w14:textId="77777777">
        <w:tblPrEx>
          <w:tblCellMar>
            <w:top w:w="0" w:type="dxa"/>
            <w:bottom w:w="0" w:type="dxa"/>
          </w:tblCellMar>
        </w:tblPrEx>
        <w:tc>
          <w:tcPr>
            <w:tcW w:w="2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78BAF2F" w14:textId="77777777" w:rsidR="006C5AF9" w:rsidRPr="009C14F1" w:rsidRDefault="00000000">
            <w:pPr>
              <w:rPr>
                <w:sz w:val="17"/>
                <w:szCs w:val="17"/>
              </w:rPr>
            </w:pPr>
            <w:r w:rsidRPr="009C14F1">
              <w:rPr>
                <w:rFonts w:ascii="Calibri" w:eastAsia="Calibri" w:hAnsi="Calibri" w:cs="Calibri"/>
                <w:color w:val="000000"/>
                <w:sz w:val="17"/>
                <w:szCs w:val="17"/>
              </w:rPr>
              <w:t>DPO</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CC524D" w14:textId="77777777" w:rsidR="006C5AF9" w:rsidRPr="009C14F1" w:rsidRDefault="00000000">
            <w:pPr>
              <w:jc w:val="center"/>
              <w:rPr>
                <w:sz w:val="17"/>
                <w:szCs w:val="17"/>
              </w:rPr>
            </w:pPr>
            <w:r w:rsidRPr="009C14F1">
              <w:rPr>
                <w:rFonts w:ascii="Calibri" w:eastAsia="Calibri" w:hAnsi="Calibri" w:cs="Calibri"/>
                <w:color w:val="000000"/>
                <w:sz w:val="17"/>
                <w:szCs w:val="17"/>
              </w:rPr>
              <w:t>23 days</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7E1E99" w14:textId="77777777" w:rsidR="006C5AF9" w:rsidRPr="009C14F1" w:rsidRDefault="00000000">
            <w:pPr>
              <w:jc w:val="center"/>
              <w:rPr>
                <w:sz w:val="17"/>
                <w:szCs w:val="17"/>
              </w:rPr>
            </w:pPr>
            <w:r w:rsidRPr="009C14F1">
              <w:rPr>
                <w:rFonts w:ascii="Calibri" w:eastAsia="Calibri" w:hAnsi="Calibri" w:cs="Calibri"/>
                <w:color w:val="000000"/>
                <w:sz w:val="17"/>
                <w:szCs w:val="17"/>
              </w:rPr>
              <w:t>27 days</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68D07C" w14:textId="77777777" w:rsidR="006C5AF9" w:rsidRPr="009C14F1" w:rsidRDefault="00000000">
            <w:pPr>
              <w:jc w:val="center"/>
              <w:rPr>
                <w:sz w:val="17"/>
                <w:szCs w:val="17"/>
              </w:rPr>
            </w:pPr>
            <w:r w:rsidRPr="009C14F1">
              <w:rPr>
                <w:rFonts w:ascii="Calibri" w:eastAsia="Calibri" w:hAnsi="Calibri" w:cs="Calibri"/>
                <w:color w:val="000000"/>
                <w:sz w:val="17"/>
                <w:szCs w:val="17"/>
              </w:rPr>
              <w:t>26 days</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2131D75" w14:textId="77777777" w:rsidR="006C5AF9" w:rsidRPr="009C14F1" w:rsidRDefault="00000000">
            <w:pPr>
              <w:jc w:val="center"/>
              <w:rPr>
                <w:sz w:val="17"/>
                <w:szCs w:val="17"/>
              </w:rPr>
            </w:pPr>
            <w:r w:rsidRPr="009C14F1">
              <w:rPr>
                <w:rFonts w:ascii="Calibri" w:eastAsia="Calibri" w:hAnsi="Calibri" w:cs="Calibri"/>
                <w:color w:val="000000"/>
                <w:sz w:val="17"/>
                <w:szCs w:val="17"/>
              </w:rPr>
              <w:t>22 days</w:t>
            </w:r>
          </w:p>
        </w:tc>
      </w:tr>
      <w:tr w:rsidR="006C5AF9" w:rsidRPr="009C14F1" w14:paraId="5FA87B65" w14:textId="77777777">
        <w:tblPrEx>
          <w:tblCellMar>
            <w:top w:w="0" w:type="dxa"/>
            <w:bottom w:w="0" w:type="dxa"/>
          </w:tblCellMar>
        </w:tblPrEx>
        <w:tc>
          <w:tcPr>
            <w:tcW w:w="2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82077F" w14:textId="77777777" w:rsidR="006C5AF9" w:rsidRPr="009C14F1" w:rsidRDefault="00000000">
            <w:pPr>
              <w:rPr>
                <w:sz w:val="17"/>
                <w:szCs w:val="17"/>
              </w:rPr>
            </w:pPr>
            <w:r w:rsidRPr="009C14F1">
              <w:rPr>
                <w:rFonts w:ascii="Calibri" w:eastAsia="Calibri" w:hAnsi="Calibri" w:cs="Calibri"/>
                <w:color w:val="000000"/>
                <w:sz w:val="17"/>
                <w:szCs w:val="17"/>
              </w:rPr>
              <w:t>FCF / Total Debt</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6660C3" w14:textId="77777777" w:rsidR="006C5AF9" w:rsidRPr="009C14F1" w:rsidRDefault="00000000">
            <w:pPr>
              <w:jc w:val="center"/>
              <w:rPr>
                <w:sz w:val="17"/>
                <w:szCs w:val="17"/>
              </w:rPr>
            </w:pPr>
            <w:r w:rsidRPr="009C14F1">
              <w:rPr>
                <w:rFonts w:ascii="Calibri" w:eastAsia="Calibri" w:hAnsi="Calibri" w:cs="Calibri"/>
                <w:color w:val="000000"/>
                <w:sz w:val="17"/>
                <w:szCs w:val="17"/>
              </w:rPr>
              <w:t>25.3%</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9AF992" w14:textId="77777777" w:rsidR="006C5AF9" w:rsidRPr="009C14F1" w:rsidRDefault="00000000">
            <w:pPr>
              <w:jc w:val="center"/>
              <w:rPr>
                <w:sz w:val="17"/>
                <w:szCs w:val="17"/>
              </w:rPr>
            </w:pPr>
            <w:r w:rsidRPr="009C14F1">
              <w:rPr>
                <w:rFonts w:ascii="Calibri" w:eastAsia="Calibri" w:hAnsi="Calibri" w:cs="Calibri"/>
                <w:color w:val="000000"/>
                <w:sz w:val="17"/>
                <w:szCs w:val="17"/>
              </w:rPr>
              <w:t>40.1%</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6542FD" w14:textId="77777777" w:rsidR="006C5AF9" w:rsidRPr="009C14F1" w:rsidRDefault="00000000">
            <w:pPr>
              <w:jc w:val="center"/>
              <w:rPr>
                <w:sz w:val="17"/>
                <w:szCs w:val="17"/>
              </w:rPr>
            </w:pPr>
            <w:r w:rsidRPr="009C14F1">
              <w:rPr>
                <w:rFonts w:ascii="Calibri" w:eastAsia="Calibri" w:hAnsi="Calibri" w:cs="Calibri"/>
                <w:color w:val="000000"/>
                <w:sz w:val="17"/>
                <w:szCs w:val="17"/>
              </w:rPr>
              <w:t>21.4%</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7C79B96" w14:textId="77777777" w:rsidR="006C5AF9" w:rsidRPr="009C14F1" w:rsidRDefault="00000000">
            <w:pPr>
              <w:jc w:val="center"/>
              <w:rPr>
                <w:sz w:val="17"/>
                <w:szCs w:val="17"/>
              </w:rPr>
            </w:pPr>
            <w:r w:rsidRPr="009C14F1">
              <w:rPr>
                <w:rFonts w:ascii="Calibri" w:eastAsia="Calibri" w:hAnsi="Calibri" w:cs="Calibri"/>
                <w:color w:val="000000"/>
                <w:sz w:val="17"/>
                <w:szCs w:val="17"/>
              </w:rPr>
              <w:t>25.5%</w:t>
            </w:r>
          </w:p>
        </w:tc>
      </w:tr>
    </w:tbl>
    <w:p w14:paraId="5D92AA7B" w14:textId="0E134AF4" w:rsidR="006C5AF9" w:rsidRPr="009C14F1" w:rsidRDefault="00000000">
      <w:pPr>
        <w:spacing w:before="50" w:after="60"/>
        <w:jc w:val="both"/>
        <w:rPr>
          <w:sz w:val="19"/>
          <w:szCs w:val="19"/>
        </w:rPr>
      </w:pPr>
      <w:r w:rsidRPr="009C14F1">
        <w:rPr>
          <w:rFonts w:ascii="Calibri" w:eastAsia="Calibri" w:hAnsi="Calibri" w:cs="Calibri"/>
          <w:i/>
          <w:iCs/>
          <w:color w:val="000000"/>
          <w:sz w:val="19"/>
          <w:szCs w:val="19"/>
        </w:rPr>
        <w:t>Leverage is manageable and improving, liquidity ratios are stable, and working capital efficiency is consistent. The DSCR decline from 4.4x in FY2022 to 1.20x in FY2025 is the primary credit concern while the FY2025 figure reflects a one-time term loan repayment and EBITDA grew 8.7% year over year, the four-year trend warrants a binding covenant.</w:t>
      </w:r>
    </w:p>
    <w:p w14:paraId="5EA313E3" w14:textId="77777777" w:rsidR="006C5AF9" w:rsidRPr="009C14F1" w:rsidRDefault="00000000">
      <w:pPr>
        <w:pBdr>
          <w:bottom w:val="single" w:sz="6" w:space="1" w:color="1F3864"/>
        </w:pBdr>
        <w:spacing w:before="100" w:after="40"/>
        <w:jc w:val="both"/>
        <w:rPr>
          <w:sz w:val="19"/>
          <w:szCs w:val="19"/>
        </w:rPr>
      </w:pPr>
      <w:r w:rsidRPr="009C14F1">
        <w:rPr>
          <w:rFonts w:ascii="Calibri" w:eastAsia="Calibri" w:hAnsi="Calibri" w:cs="Calibri"/>
          <w:b/>
          <w:bCs/>
          <w:caps/>
          <w:color w:val="1F3864"/>
          <w:sz w:val="19"/>
          <w:szCs w:val="19"/>
        </w:rPr>
        <w:t>Key Risks</w:t>
      </w:r>
    </w:p>
    <w:p w14:paraId="313ED830" w14:textId="33433CD5" w:rsidR="006C5AF9" w:rsidRPr="009C14F1" w:rsidRDefault="00000000">
      <w:pPr>
        <w:spacing w:after="40"/>
        <w:jc w:val="both"/>
        <w:rPr>
          <w:sz w:val="19"/>
          <w:szCs w:val="19"/>
        </w:rPr>
      </w:pPr>
      <w:r w:rsidRPr="009C14F1">
        <w:rPr>
          <w:rFonts w:ascii="Calibri" w:eastAsia="Calibri" w:hAnsi="Calibri" w:cs="Calibri"/>
          <w:b/>
          <w:bCs/>
          <w:color w:val="000000"/>
          <w:sz w:val="19"/>
          <w:szCs w:val="19"/>
        </w:rPr>
        <w:t xml:space="preserve">Risk 1: Sustained housing market suppression. </w:t>
      </w:r>
      <w:r w:rsidRPr="009C14F1">
        <w:rPr>
          <w:rFonts w:ascii="Calibri" w:eastAsia="Calibri" w:hAnsi="Calibri" w:cs="Calibri"/>
          <w:color w:val="000000"/>
          <w:sz w:val="19"/>
          <w:szCs w:val="19"/>
        </w:rPr>
        <w:t>US single-family housing forecast</w:t>
      </w:r>
      <w:r w:rsidR="000D3DEE">
        <w:rPr>
          <w:rFonts w:ascii="Calibri" w:eastAsia="Calibri" w:hAnsi="Calibri" w:cs="Calibri"/>
          <w:color w:val="000000"/>
          <w:sz w:val="19"/>
          <w:szCs w:val="19"/>
        </w:rPr>
        <w:t>s</w:t>
      </w:r>
      <w:r w:rsidRPr="009C14F1">
        <w:rPr>
          <w:rFonts w:ascii="Calibri" w:eastAsia="Calibri" w:hAnsi="Calibri" w:cs="Calibri"/>
          <w:color w:val="000000"/>
          <w:sz w:val="19"/>
          <w:szCs w:val="19"/>
        </w:rPr>
        <w:t xml:space="preserve"> 940,000 units in 2026</w:t>
      </w:r>
      <w:r w:rsidR="000D3DEE">
        <w:rPr>
          <w:rFonts w:ascii="Calibri" w:eastAsia="Calibri" w:hAnsi="Calibri" w:cs="Calibri"/>
          <w:color w:val="000000"/>
          <w:sz w:val="19"/>
          <w:szCs w:val="19"/>
        </w:rPr>
        <w:t>,</w:t>
      </w:r>
      <w:r w:rsidRPr="009C14F1">
        <w:rPr>
          <w:rFonts w:ascii="Calibri" w:eastAsia="Calibri" w:hAnsi="Calibri" w:cs="Calibri"/>
          <w:color w:val="000000"/>
          <w:sz w:val="19"/>
          <w:szCs w:val="19"/>
        </w:rPr>
        <w:t xml:space="preserve"> well below the 1.1 to 1.5 million unit range associated with a healthy market</w:t>
      </w:r>
      <w:r w:rsidR="000D3DEE">
        <w:rPr>
          <w:rFonts w:ascii="Calibri" w:eastAsia="Calibri" w:hAnsi="Calibri" w:cs="Calibri"/>
          <w:color w:val="000000"/>
          <w:sz w:val="19"/>
          <w:szCs w:val="19"/>
        </w:rPr>
        <w:t>, and</w:t>
      </w:r>
      <w:r w:rsidRPr="009C14F1">
        <w:rPr>
          <w:rFonts w:ascii="Calibri" w:eastAsia="Calibri" w:hAnsi="Calibri" w:cs="Calibri"/>
          <w:color w:val="000000"/>
          <w:sz w:val="19"/>
          <w:szCs w:val="19"/>
        </w:rPr>
        <w:t xml:space="preserve"> </w:t>
      </w:r>
      <w:r w:rsidR="000D3DEE">
        <w:rPr>
          <w:rFonts w:ascii="Calibri" w:eastAsia="Calibri" w:hAnsi="Calibri" w:cs="Calibri"/>
          <w:color w:val="000000"/>
          <w:sz w:val="19"/>
          <w:szCs w:val="19"/>
        </w:rPr>
        <w:t>t</w:t>
      </w:r>
      <w:r w:rsidRPr="009C14F1">
        <w:rPr>
          <w:rFonts w:ascii="Calibri" w:eastAsia="Calibri" w:hAnsi="Calibri" w:cs="Calibri"/>
          <w:color w:val="000000"/>
          <w:sz w:val="19"/>
          <w:szCs w:val="19"/>
        </w:rPr>
        <w:t>he 30-year mortgage rate is expected to remain above 6% for most of the year. Approximately 40% of ADENTRA’s revenue is tied to new residential construction, and the FY2023 to FY2024 cycle demonstrated EBITDA compression of 25 to 30% from peak in a sustained downturn. Partially mitigated by the repair and remodel segment (approximately 40% of revenue, forecast +3% real in FY2026) and a 4.03 million unit housing supply deficit supporting recovery once rates normalize.</w:t>
      </w:r>
    </w:p>
    <w:p w14:paraId="52F8726B" w14:textId="2591E574" w:rsidR="006C5AF9" w:rsidRPr="009C14F1" w:rsidRDefault="00000000">
      <w:pPr>
        <w:spacing w:after="40"/>
        <w:jc w:val="both"/>
        <w:rPr>
          <w:sz w:val="19"/>
          <w:szCs w:val="19"/>
        </w:rPr>
      </w:pPr>
      <w:r w:rsidRPr="009C14F1">
        <w:rPr>
          <w:rFonts w:ascii="Calibri" w:eastAsia="Calibri" w:hAnsi="Calibri" w:cs="Calibri"/>
          <w:b/>
          <w:bCs/>
          <w:color w:val="000000"/>
          <w:sz w:val="19"/>
          <w:szCs w:val="19"/>
        </w:rPr>
        <w:t xml:space="preserve">Risk 2: Tariff escalation on sourced product. </w:t>
      </w:r>
      <w:r w:rsidRPr="009C14F1">
        <w:rPr>
          <w:rFonts w:ascii="Calibri" w:eastAsia="Calibri" w:hAnsi="Calibri" w:cs="Calibri"/>
          <w:color w:val="000000"/>
          <w:sz w:val="19"/>
          <w:szCs w:val="19"/>
        </w:rPr>
        <w:t>Tariffs exceeding 45% on Canadian softwood lumber add an estimated $9,200 per new home per the NAHB, suppressing housing volumes</w:t>
      </w:r>
      <w:r w:rsidR="0072441C">
        <w:rPr>
          <w:rFonts w:ascii="Calibri" w:eastAsia="Calibri" w:hAnsi="Calibri" w:cs="Calibri"/>
          <w:color w:val="000000"/>
          <w:sz w:val="19"/>
          <w:szCs w:val="19"/>
        </w:rPr>
        <w:t>.</w:t>
      </w:r>
      <w:r w:rsidRPr="009C14F1">
        <w:rPr>
          <w:rFonts w:ascii="Calibri" w:eastAsia="Calibri" w:hAnsi="Calibri" w:cs="Calibri"/>
          <w:color w:val="000000"/>
          <w:sz w:val="19"/>
          <w:szCs w:val="19"/>
        </w:rPr>
        <w:t xml:space="preserve"> </w:t>
      </w:r>
      <w:r w:rsidR="0072441C">
        <w:rPr>
          <w:rFonts w:ascii="Calibri" w:eastAsia="Calibri" w:hAnsi="Calibri" w:cs="Calibri"/>
          <w:color w:val="000000"/>
          <w:sz w:val="19"/>
          <w:szCs w:val="19"/>
        </w:rPr>
        <w:t>S</w:t>
      </w:r>
      <w:r w:rsidRPr="009C14F1">
        <w:rPr>
          <w:rFonts w:ascii="Calibri" w:eastAsia="Calibri" w:hAnsi="Calibri" w:cs="Calibri"/>
          <w:color w:val="000000"/>
          <w:sz w:val="19"/>
          <w:szCs w:val="19"/>
        </w:rPr>
        <w:t>eparately, anti-dumping and countervailing duty investigations on hardwood and decorative plywood from China, Indonesia, and Vietnam initiated in Q2 2025 create direct duty liability on a portion of ADENTRA’s product mix, with determinations expected in 2026. Partially mitigated by the price passthrough model, global sourcing across 30 or more countries, and the Vietnam CVD dispute resolved in ADENTRA’s favour in Q2 2025 with $7.3 million in duty refunds received.</w:t>
      </w:r>
    </w:p>
    <w:p w14:paraId="204A4991" w14:textId="654FCD30" w:rsidR="006C5AF9" w:rsidRPr="009C14F1" w:rsidRDefault="00000000">
      <w:pPr>
        <w:spacing w:after="40"/>
        <w:jc w:val="both"/>
        <w:rPr>
          <w:sz w:val="19"/>
          <w:szCs w:val="19"/>
        </w:rPr>
      </w:pPr>
      <w:r w:rsidRPr="009C14F1">
        <w:rPr>
          <w:rFonts w:ascii="Calibri" w:eastAsia="Calibri" w:hAnsi="Calibri" w:cs="Calibri"/>
          <w:b/>
          <w:bCs/>
          <w:color w:val="000000"/>
          <w:sz w:val="19"/>
          <w:szCs w:val="19"/>
        </w:rPr>
        <w:t xml:space="preserve">Risk 3: DSCR trajectory below threshold. </w:t>
      </w:r>
      <w:r w:rsidRPr="009C14F1">
        <w:rPr>
          <w:rFonts w:ascii="Calibri" w:eastAsia="Calibri" w:hAnsi="Calibri" w:cs="Calibri"/>
          <w:color w:val="000000"/>
          <w:sz w:val="19"/>
          <w:szCs w:val="19"/>
        </w:rPr>
        <w:t>DSCR has declined from 4.4x in FY2022 to 1.20x in FY2025</w:t>
      </w:r>
      <w:r w:rsidR="0072441C">
        <w:rPr>
          <w:rFonts w:ascii="Calibri" w:eastAsia="Calibri" w:hAnsi="Calibri" w:cs="Calibri"/>
          <w:color w:val="000000"/>
          <w:sz w:val="19"/>
          <w:szCs w:val="19"/>
        </w:rPr>
        <w:t>,</w:t>
      </w:r>
      <w:r w:rsidRPr="009C14F1">
        <w:rPr>
          <w:rFonts w:ascii="Calibri" w:eastAsia="Calibri" w:hAnsi="Calibri" w:cs="Calibri"/>
          <w:color w:val="000000"/>
          <w:sz w:val="19"/>
          <w:szCs w:val="19"/>
        </w:rPr>
        <w:t xml:space="preserve"> below the 1.25x commercial lending floor. The FY2025 figure is attributable to a one-time $102.5 million term loan repayment, but the four-year trend is a legitimate concern </w:t>
      </w:r>
      <w:r w:rsidR="0072441C">
        <w:rPr>
          <w:rFonts w:ascii="Calibri" w:eastAsia="Calibri" w:hAnsi="Calibri" w:cs="Calibri"/>
          <w:color w:val="000000"/>
          <w:sz w:val="19"/>
          <w:szCs w:val="19"/>
        </w:rPr>
        <w:t>regardless</w:t>
      </w:r>
      <w:r w:rsidRPr="009C14F1">
        <w:rPr>
          <w:rFonts w:ascii="Calibri" w:eastAsia="Calibri" w:hAnsi="Calibri" w:cs="Calibri"/>
          <w:color w:val="000000"/>
          <w:sz w:val="19"/>
          <w:szCs w:val="19"/>
        </w:rPr>
        <w:t xml:space="preserve"> of that explanation</w:t>
      </w:r>
      <w:r w:rsidR="0072441C">
        <w:rPr>
          <w:rFonts w:ascii="Calibri" w:eastAsia="Calibri" w:hAnsi="Calibri" w:cs="Calibri"/>
          <w:color w:val="000000"/>
          <w:sz w:val="19"/>
          <w:szCs w:val="19"/>
        </w:rPr>
        <w:t>.</w:t>
      </w:r>
      <w:r w:rsidRPr="009C14F1">
        <w:rPr>
          <w:rFonts w:ascii="Calibri" w:eastAsia="Calibri" w:hAnsi="Calibri" w:cs="Calibri"/>
          <w:color w:val="000000"/>
          <w:sz w:val="19"/>
          <w:szCs w:val="19"/>
        </w:rPr>
        <w:t xml:space="preserve"> </w:t>
      </w:r>
      <w:r w:rsidR="0072441C">
        <w:rPr>
          <w:rFonts w:ascii="Calibri" w:eastAsia="Calibri" w:hAnsi="Calibri" w:cs="Calibri"/>
          <w:color w:val="000000"/>
          <w:sz w:val="19"/>
          <w:szCs w:val="19"/>
        </w:rPr>
        <w:t>A</w:t>
      </w:r>
      <w:r w:rsidRPr="009C14F1">
        <w:rPr>
          <w:rFonts w:ascii="Calibri" w:eastAsia="Calibri" w:hAnsi="Calibri" w:cs="Calibri"/>
          <w:color w:val="000000"/>
          <w:sz w:val="19"/>
          <w:szCs w:val="19"/>
        </w:rPr>
        <w:t xml:space="preserve"> 10 to 15% EBITDA contraction in FY2026 without a proportional reduction in debt service would push DSCR below 1.0x. Partially mitigated by 8.7% EBITDA growth in FY2025, $490.9 million of undrawn capacity, and an existing credit agreement interest coverage covenant of 2.75x versus actual 2.8x confirming no current technical breach.</w:t>
      </w:r>
    </w:p>
    <w:p w14:paraId="5CF4F938" w14:textId="77777777" w:rsidR="006C5AF9" w:rsidRPr="009C14F1" w:rsidRDefault="00000000">
      <w:pPr>
        <w:spacing w:after="40"/>
        <w:jc w:val="both"/>
        <w:rPr>
          <w:sz w:val="19"/>
          <w:szCs w:val="19"/>
        </w:rPr>
      </w:pPr>
      <w:r w:rsidRPr="009C14F1">
        <w:rPr>
          <w:rFonts w:ascii="Calibri" w:eastAsia="Calibri" w:hAnsi="Calibri" w:cs="Calibri"/>
          <w:b/>
          <w:bCs/>
          <w:color w:val="000000"/>
          <w:sz w:val="19"/>
          <w:szCs w:val="19"/>
        </w:rPr>
        <w:t xml:space="preserve">Risk 4: Goodwill concentration from acquisition program. </w:t>
      </w:r>
      <w:r w:rsidRPr="009C14F1">
        <w:rPr>
          <w:rFonts w:ascii="Calibri" w:eastAsia="Calibri" w:hAnsi="Calibri" w:cs="Calibri"/>
          <w:color w:val="000000"/>
          <w:sz w:val="19"/>
          <w:szCs w:val="19"/>
        </w:rPr>
        <w:t>Goodwill and intangibles total $478 million as of FY2025 (approximately 35% of total assets), accumulated through seven acquisitions over five years. A material integration failure or value destruction under the Destination 2028 M&amp;A program ($50 to $150 million per year targeted) could trigger goodwill impairment, reducing book equity and covenant headroom without cash flow impact. Mitigated by seven completed acquisitions without a disclosed impairment and Woolf delivering $94.3 million of revenue in its first full year.</w:t>
      </w:r>
    </w:p>
    <w:p w14:paraId="3D09C65D" w14:textId="7530A48B" w:rsidR="006C5AF9" w:rsidRPr="009C14F1" w:rsidRDefault="00000000">
      <w:pPr>
        <w:spacing w:after="60"/>
        <w:jc w:val="both"/>
        <w:rPr>
          <w:sz w:val="19"/>
          <w:szCs w:val="19"/>
        </w:rPr>
      </w:pPr>
      <w:r w:rsidRPr="009C14F1">
        <w:rPr>
          <w:rFonts w:ascii="Calibri" w:eastAsia="Calibri" w:hAnsi="Calibri" w:cs="Calibri"/>
          <w:b/>
          <w:bCs/>
          <w:color w:val="000000"/>
          <w:sz w:val="19"/>
          <w:szCs w:val="19"/>
        </w:rPr>
        <w:t xml:space="preserve">Risk 5: Transactional revenue model with no contracted floor. </w:t>
      </w:r>
      <w:r w:rsidRPr="009C14F1">
        <w:rPr>
          <w:rFonts w:ascii="Calibri" w:eastAsia="Calibri" w:hAnsi="Calibri" w:cs="Calibri"/>
          <w:color w:val="000000"/>
          <w:sz w:val="19"/>
          <w:szCs w:val="19"/>
        </w:rPr>
        <w:t>Every dollar of revenue is a discretionary purchase order earned in the current period</w:t>
      </w:r>
      <w:r w:rsidR="0072441C">
        <w:rPr>
          <w:rFonts w:ascii="Calibri" w:eastAsia="Calibri" w:hAnsi="Calibri" w:cs="Calibri"/>
          <w:color w:val="000000"/>
          <w:sz w:val="19"/>
          <w:szCs w:val="19"/>
        </w:rPr>
        <w:t>.</w:t>
      </w:r>
      <w:r w:rsidRPr="009C14F1">
        <w:rPr>
          <w:rFonts w:ascii="Calibri" w:eastAsia="Calibri" w:hAnsi="Calibri" w:cs="Calibri"/>
          <w:color w:val="000000"/>
          <w:sz w:val="19"/>
          <w:szCs w:val="19"/>
        </w:rPr>
        <w:t xml:space="preserve"> </w:t>
      </w:r>
      <w:r w:rsidR="0072441C">
        <w:rPr>
          <w:rFonts w:ascii="Calibri" w:eastAsia="Calibri" w:hAnsi="Calibri" w:cs="Calibri"/>
          <w:color w:val="000000"/>
          <w:sz w:val="19"/>
          <w:szCs w:val="19"/>
        </w:rPr>
        <w:t>I</w:t>
      </w:r>
      <w:r w:rsidRPr="009C14F1">
        <w:rPr>
          <w:rFonts w:ascii="Calibri" w:eastAsia="Calibri" w:hAnsi="Calibri" w:cs="Calibri"/>
          <w:color w:val="000000"/>
          <w:sz w:val="19"/>
          <w:szCs w:val="19"/>
        </w:rPr>
        <w:t xml:space="preserve">n a sharp demand </w:t>
      </w:r>
      <w:r w:rsidR="0072441C" w:rsidRPr="009C14F1">
        <w:rPr>
          <w:rFonts w:ascii="Calibri" w:eastAsia="Calibri" w:hAnsi="Calibri" w:cs="Calibri"/>
          <w:color w:val="000000"/>
          <w:sz w:val="19"/>
          <w:szCs w:val="19"/>
        </w:rPr>
        <w:t>contraction,</w:t>
      </w:r>
      <w:r w:rsidRPr="009C14F1">
        <w:rPr>
          <w:rFonts w:ascii="Calibri" w:eastAsia="Calibri" w:hAnsi="Calibri" w:cs="Calibri"/>
          <w:color w:val="000000"/>
          <w:sz w:val="19"/>
          <w:szCs w:val="19"/>
        </w:rPr>
        <w:t xml:space="preserve"> there is no contractual floor below which revenue cannot fall. Scale, product breadth, and customer relationships slow revenue loss but do not create a floor. This is structural and not meaningfully mitigated.</w:t>
      </w:r>
    </w:p>
    <w:p w14:paraId="3B0BC2A4" w14:textId="77777777" w:rsidR="006C5AF9" w:rsidRPr="009C14F1" w:rsidRDefault="00000000">
      <w:pPr>
        <w:pBdr>
          <w:bottom w:val="single" w:sz="6" w:space="1" w:color="1F3864"/>
        </w:pBdr>
        <w:spacing w:before="100" w:after="40"/>
        <w:jc w:val="both"/>
        <w:rPr>
          <w:sz w:val="19"/>
          <w:szCs w:val="19"/>
        </w:rPr>
      </w:pPr>
      <w:r w:rsidRPr="009C14F1">
        <w:rPr>
          <w:rFonts w:ascii="Calibri" w:eastAsia="Calibri" w:hAnsi="Calibri" w:cs="Calibri"/>
          <w:b/>
          <w:bCs/>
          <w:caps/>
          <w:color w:val="1F3864"/>
          <w:sz w:val="19"/>
          <w:szCs w:val="19"/>
        </w:rPr>
        <w:t>Lending Recommendation</w:t>
      </w:r>
    </w:p>
    <w:p w14:paraId="4D36D3C9" w14:textId="34E6487D" w:rsidR="006C5AF9" w:rsidRPr="009C14F1" w:rsidRDefault="00000000">
      <w:pPr>
        <w:spacing w:after="50"/>
        <w:jc w:val="both"/>
        <w:rPr>
          <w:sz w:val="19"/>
          <w:szCs w:val="19"/>
        </w:rPr>
      </w:pPr>
      <w:r w:rsidRPr="009C14F1">
        <w:rPr>
          <w:rFonts w:ascii="Calibri" w:eastAsia="Calibri" w:hAnsi="Calibri" w:cs="Calibri"/>
          <w:color w:val="000000"/>
          <w:sz w:val="19"/>
          <w:szCs w:val="19"/>
        </w:rPr>
        <w:t xml:space="preserve">We recommend conditional approval. ADENTRA is a scaled, asset light distributor with 16 consecutive quarters of gross margin above 20%, improving leverage, and $490.9 million of undrawn capacity eliminating near term refinancing risk. Operating cash flow averaged $188 million annually through a full demand cycle including a 15% cumulative revenue decline, and management demonstrated consistent financial </w:t>
      </w:r>
      <w:r w:rsidR="0072441C">
        <w:rPr>
          <w:rFonts w:ascii="Calibri" w:eastAsia="Calibri" w:hAnsi="Calibri" w:cs="Calibri"/>
          <w:color w:val="000000"/>
          <w:sz w:val="19"/>
          <w:szCs w:val="19"/>
        </w:rPr>
        <w:t>discipline:</w:t>
      </w:r>
      <w:r w:rsidRPr="009C14F1">
        <w:rPr>
          <w:rFonts w:ascii="Calibri" w:eastAsia="Calibri" w:hAnsi="Calibri" w:cs="Calibri"/>
          <w:color w:val="000000"/>
          <w:sz w:val="19"/>
          <w:szCs w:val="19"/>
        </w:rPr>
        <w:t xml:space="preserve"> $223.6 million of debt repayment in FY2023, equity financing for the Woolf acquisition rather than additional leverage, and net debt to capitalization declining from 52% to 32%.</w:t>
      </w:r>
    </w:p>
    <w:p w14:paraId="4B67A76D" w14:textId="77777777" w:rsidR="006C5AF9" w:rsidRPr="009C14F1" w:rsidRDefault="00000000">
      <w:pPr>
        <w:spacing w:after="40"/>
        <w:jc w:val="both"/>
        <w:rPr>
          <w:sz w:val="19"/>
          <w:szCs w:val="19"/>
        </w:rPr>
      </w:pPr>
      <w:r w:rsidRPr="009C14F1">
        <w:rPr>
          <w:rFonts w:ascii="Calibri" w:eastAsia="Calibri" w:hAnsi="Calibri" w:cs="Calibri"/>
          <w:color w:val="000000"/>
          <w:sz w:val="19"/>
          <w:szCs w:val="19"/>
        </w:rPr>
        <w:t>The primary concern is DSCR at 1.20x, below threshold and deteriorating over four years. The FY2025 figure is explained by a one-time term loan repayment; the trend nonetheless warrants a binding covenant rather than discretionary monitoring. Recommended covenants, tested semi-annually:</w:t>
      </w:r>
    </w:p>
    <w:p w14:paraId="628EDF88" w14:textId="77777777" w:rsidR="006C5AF9" w:rsidRPr="009C14F1" w:rsidRDefault="00000000">
      <w:pPr>
        <w:pStyle w:val="ListParagraph"/>
        <w:numPr>
          <w:ilvl w:val="0"/>
          <w:numId w:val="2"/>
        </w:numPr>
        <w:spacing w:after="30"/>
        <w:rPr>
          <w:sz w:val="19"/>
          <w:szCs w:val="19"/>
        </w:rPr>
      </w:pPr>
      <w:r w:rsidRPr="009C14F1">
        <w:rPr>
          <w:rFonts w:ascii="Calibri" w:eastAsia="Calibri" w:hAnsi="Calibri" w:cs="Calibri"/>
          <w:color w:val="000000"/>
          <w:sz w:val="19"/>
          <w:szCs w:val="19"/>
        </w:rPr>
        <w:t>Minimum DSCR of 1.15x</w:t>
      </w:r>
    </w:p>
    <w:p w14:paraId="1E224391" w14:textId="77777777" w:rsidR="006C5AF9" w:rsidRPr="009C14F1" w:rsidRDefault="00000000">
      <w:pPr>
        <w:pStyle w:val="ListParagraph"/>
        <w:numPr>
          <w:ilvl w:val="0"/>
          <w:numId w:val="2"/>
        </w:numPr>
        <w:spacing w:after="30"/>
        <w:rPr>
          <w:sz w:val="19"/>
          <w:szCs w:val="19"/>
        </w:rPr>
      </w:pPr>
      <w:r w:rsidRPr="009C14F1">
        <w:rPr>
          <w:rFonts w:ascii="Calibri" w:eastAsia="Calibri" w:hAnsi="Calibri" w:cs="Calibri"/>
          <w:color w:val="000000"/>
          <w:sz w:val="19"/>
          <w:szCs w:val="19"/>
        </w:rPr>
        <w:t>Maximum Total Debt to EBITDA of 3.75x</w:t>
      </w:r>
    </w:p>
    <w:p w14:paraId="2386DF61" w14:textId="77777777" w:rsidR="006C5AF9" w:rsidRPr="009C14F1" w:rsidRDefault="00000000">
      <w:pPr>
        <w:pStyle w:val="ListParagraph"/>
        <w:numPr>
          <w:ilvl w:val="0"/>
          <w:numId w:val="2"/>
        </w:numPr>
        <w:spacing w:after="30"/>
        <w:rPr>
          <w:sz w:val="19"/>
          <w:szCs w:val="19"/>
        </w:rPr>
      </w:pPr>
      <w:r w:rsidRPr="009C14F1">
        <w:rPr>
          <w:rFonts w:ascii="Calibri" w:eastAsia="Calibri" w:hAnsi="Calibri" w:cs="Calibri"/>
          <w:color w:val="000000"/>
          <w:sz w:val="19"/>
          <w:szCs w:val="19"/>
        </w:rPr>
        <w:t>Minimum Interest Coverage Ratio of 2.5x</w:t>
      </w:r>
    </w:p>
    <w:p w14:paraId="08344D94" w14:textId="77777777" w:rsidR="006C5AF9" w:rsidRPr="009C14F1" w:rsidRDefault="00000000">
      <w:pPr>
        <w:pStyle w:val="ListParagraph"/>
        <w:numPr>
          <w:ilvl w:val="0"/>
          <w:numId w:val="2"/>
        </w:numPr>
        <w:spacing w:after="30"/>
        <w:rPr>
          <w:sz w:val="19"/>
          <w:szCs w:val="19"/>
        </w:rPr>
      </w:pPr>
      <w:r w:rsidRPr="009C14F1">
        <w:rPr>
          <w:rFonts w:ascii="Calibri" w:eastAsia="Calibri" w:hAnsi="Calibri" w:cs="Calibri"/>
          <w:color w:val="000000"/>
          <w:sz w:val="19"/>
          <w:szCs w:val="19"/>
        </w:rPr>
        <w:t>Annual financial reporting within 120 days of fiscal year end with quarterly covenant certification</w:t>
      </w:r>
    </w:p>
    <w:p w14:paraId="5990E93A" w14:textId="77777777" w:rsidR="006C5AF9" w:rsidRPr="009C14F1" w:rsidRDefault="00000000">
      <w:pPr>
        <w:spacing w:before="50"/>
        <w:jc w:val="both"/>
        <w:rPr>
          <w:sz w:val="19"/>
          <w:szCs w:val="19"/>
        </w:rPr>
      </w:pPr>
      <w:r w:rsidRPr="009C14F1">
        <w:rPr>
          <w:rFonts w:ascii="Calibri" w:eastAsia="Calibri" w:hAnsi="Calibri" w:cs="Calibri"/>
          <w:color w:val="000000"/>
          <w:sz w:val="19"/>
          <w:szCs w:val="19"/>
        </w:rPr>
        <w:t>A 12-month review is recommended once FY2026 results are available to assess whether DSCR has normalized above 1.25x as the elevated FY2025 repayment drops out of the trailing calculation. If DSCR remains below threshold on a normalized basis in FY2026 without a clear one-time explanation, a pricing adjustment or facility reduction discussion is warranted.</w:t>
      </w:r>
    </w:p>
    <w:sectPr w:rsidR="006C5AF9" w:rsidRPr="009C14F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D6832"/>
    <w:multiLevelType w:val="hybridMultilevel"/>
    <w:tmpl w:val="1C4CFD30"/>
    <w:lvl w:ilvl="0" w:tplc="C2E4576A">
      <w:start w:val="1"/>
      <w:numFmt w:val="bullet"/>
      <w:lvlText w:val="●"/>
      <w:lvlJc w:val="left"/>
      <w:pPr>
        <w:ind w:left="720" w:hanging="360"/>
      </w:pPr>
    </w:lvl>
    <w:lvl w:ilvl="1" w:tplc="D3C6F2E2">
      <w:start w:val="1"/>
      <w:numFmt w:val="bullet"/>
      <w:lvlText w:val="○"/>
      <w:lvlJc w:val="left"/>
      <w:pPr>
        <w:ind w:left="1440" w:hanging="360"/>
      </w:pPr>
    </w:lvl>
    <w:lvl w:ilvl="2" w:tplc="6C348054">
      <w:start w:val="1"/>
      <w:numFmt w:val="bullet"/>
      <w:lvlText w:val="■"/>
      <w:lvlJc w:val="left"/>
      <w:pPr>
        <w:ind w:left="2160" w:hanging="360"/>
      </w:pPr>
    </w:lvl>
    <w:lvl w:ilvl="3" w:tplc="963013E4">
      <w:start w:val="1"/>
      <w:numFmt w:val="bullet"/>
      <w:lvlText w:val="●"/>
      <w:lvlJc w:val="left"/>
      <w:pPr>
        <w:ind w:left="2880" w:hanging="360"/>
      </w:pPr>
    </w:lvl>
    <w:lvl w:ilvl="4" w:tplc="6E1238C0">
      <w:start w:val="1"/>
      <w:numFmt w:val="bullet"/>
      <w:lvlText w:val="○"/>
      <w:lvlJc w:val="left"/>
      <w:pPr>
        <w:ind w:left="3600" w:hanging="360"/>
      </w:pPr>
    </w:lvl>
    <w:lvl w:ilvl="5" w:tplc="85D6010E">
      <w:start w:val="1"/>
      <w:numFmt w:val="bullet"/>
      <w:lvlText w:val="■"/>
      <w:lvlJc w:val="left"/>
      <w:pPr>
        <w:ind w:left="4320" w:hanging="360"/>
      </w:pPr>
    </w:lvl>
    <w:lvl w:ilvl="6" w:tplc="D0AA8BDC">
      <w:start w:val="1"/>
      <w:numFmt w:val="bullet"/>
      <w:lvlText w:val="●"/>
      <w:lvlJc w:val="left"/>
      <w:pPr>
        <w:ind w:left="5040" w:hanging="360"/>
      </w:pPr>
    </w:lvl>
    <w:lvl w:ilvl="7" w:tplc="01E038EA">
      <w:start w:val="1"/>
      <w:numFmt w:val="bullet"/>
      <w:lvlText w:val="●"/>
      <w:lvlJc w:val="left"/>
      <w:pPr>
        <w:ind w:left="5760" w:hanging="360"/>
      </w:pPr>
    </w:lvl>
    <w:lvl w:ilvl="8" w:tplc="CE82F7EC">
      <w:start w:val="1"/>
      <w:numFmt w:val="bullet"/>
      <w:lvlText w:val="●"/>
      <w:lvlJc w:val="left"/>
      <w:pPr>
        <w:ind w:left="6480" w:hanging="360"/>
      </w:pPr>
    </w:lvl>
  </w:abstractNum>
  <w:abstractNum w:abstractNumId="1" w15:restartNumberingAfterBreak="0">
    <w:nsid w:val="5AB22D05"/>
    <w:multiLevelType w:val="hybridMultilevel"/>
    <w:tmpl w:val="BE288CD0"/>
    <w:lvl w:ilvl="0" w:tplc="68285F60">
      <w:start w:val="1"/>
      <w:numFmt w:val="bullet"/>
      <w:lvlText w:val="•"/>
      <w:lvlJc w:val="left"/>
      <w:pPr>
        <w:ind w:left="360" w:hanging="260"/>
      </w:pPr>
    </w:lvl>
    <w:lvl w:ilvl="1" w:tplc="78443CB6">
      <w:numFmt w:val="decimal"/>
      <w:lvlText w:val=""/>
      <w:lvlJc w:val="left"/>
    </w:lvl>
    <w:lvl w:ilvl="2" w:tplc="5E4635F4">
      <w:numFmt w:val="decimal"/>
      <w:lvlText w:val=""/>
      <w:lvlJc w:val="left"/>
    </w:lvl>
    <w:lvl w:ilvl="3" w:tplc="58368AFE">
      <w:numFmt w:val="decimal"/>
      <w:lvlText w:val=""/>
      <w:lvlJc w:val="left"/>
    </w:lvl>
    <w:lvl w:ilvl="4" w:tplc="B922BE92">
      <w:numFmt w:val="decimal"/>
      <w:lvlText w:val=""/>
      <w:lvlJc w:val="left"/>
    </w:lvl>
    <w:lvl w:ilvl="5" w:tplc="76D8C7FA">
      <w:numFmt w:val="decimal"/>
      <w:lvlText w:val=""/>
      <w:lvlJc w:val="left"/>
    </w:lvl>
    <w:lvl w:ilvl="6" w:tplc="497EEF1C">
      <w:numFmt w:val="decimal"/>
      <w:lvlText w:val=""/>
      <w:lvlJc w:val="left"/>
    </w:lvl>
    <w:lvl w:ilvl="7" w:tplc="B986F84C">
      <w:numFmt w:val="decimal"/>
      <w:lvlText w:val=""/>
      <w:lvlJc w:val="left"/>
    </w:lvl>
    <w:lvl w:ilvl="8" w:tplc="29FADB14">
      <w:numFmt w:val="decimal"/>
      <w:lvlText w:val=""/>
      <w:lvlJc w:val="left"/>
    </w:lvl>
  </w:abstractNum>
  <w:num w:numId="1" w16cid:durableId="333916632">
    <w:abstractNumId w:val="0"/>
    <w:lvlOverride w:ilvl="0">
      <w:startOverride w:val="1"/>
    </w:lvlOverride>
  </w:num>
  <w:num w:numId="2" w16cid:durableId="6398436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AF9"/>
    <w:rsid w:val="0001431C"/>
    <w:rsid w:val="000B3DD1"/>
    <w:rsid w:val="000D3DEE"/>
    <w:rsid w:val="00402F24"/>
    <w:rsid w:val="005A1F29"/>
    <w:rsid w:val="006C5AF9"/>
    <w:rsid w:val="0072441C"/>
    <w:rsid w:val="009C14F1"/>
    <w:rsid w:val="00AB5EA4"/>
    <w:rsid w:val="00B252C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BCDAF1D"/>
  <w15:docId w15:val="{34A61EC7-C523-324A-8AFC-715864EF7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1495</Words>
  <Characters>8527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Yuvraj Rajput</cp:lastModifiedBy>
  <cp:revision>5</cp:revision>
  <dcterms:created xsi:type="dcterms:W3CDTF">2026-04-24T18:50:00Z</dcterms:created>
  <dcterms:modified xsi:type="dcterms:W3CDTF">2026-04-24T23:15:00Z</dcterms:modified>
</cp:coreProperties>
</file>