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外卖商家后台核心操作SOP（适配RAG知识库）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一、退款处理流程SOP（核心重点）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核心原则：快速响应、分级审批、友好沟通，减少客诉升级，兼顾效率与用户体验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退款金额分级及审批权限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小额退款（≤5元）</w:t>
      </w:r>
      <w:r>
        <w:rPr>
          <w:rFonts w:eastAsia="等线" w:ascii="Arial" w:cs="Arial" w:hAnsi="Arial"/>
          <w:sz w:val="22"/>
        </w:rPr>
        <w:t>：店员可自行决定，无需上报店长，处理时限≤3分钟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中额退款（5元＜金额≤10元）</w:t>
      </w:r>
      <w:r>
        <w:rPr>
          <w:rFonts w:eastAsia="等线" w:ascii="Arial" w:cs="Arial" w:hAnsi="Arial"/>
          <w:sz w:val="22"/>
        </w:rPr>
        <w:t>：需联系店长确认，店长同意后由店员操作，处理时限≤5分钟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大额退款（10元＜金额＜全款）</w:t>
      </w:r>
      <w:r>
        <w:rPr>
          <w:rFonts w:eastAsia="等线" w:ascii="Arial" w:cs="Arial" w:hAnsi="Arial"/>
          <w:sz w:val="22"/>
        </w:rPr>
        <w:t>：店长亲自审核，确认退款原因（如餐品漏送、变质、错送等）后，由店长操作，处理时限≤10分钟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全款退款</w:t>
      </w:r>
      <w:r>
        <w:rPr>
          <w:rFonts w:eastAsia="等线" w:ascii="Arial" w:cs="Arial" w:hAnsi="Arial"/>
          <w:sz w:val="22"/>
        </w:rPr>
        <w:t>：店长审核，需留存退款凭证（如餐品问题照片、用户沟通记录），上报门店负责人备案后操作，处理时限≤15分钟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退款操作步骤（通用）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接收平台退款通知（后台消息、短信提醒），立即查看用户退款原因（如餐品漏送、口感不佳、超时等）；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根据退款金额，按分级权限确认审批人；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审批通过后，进入外卖商家后台「订单管理」→「待退款订单」，找到对应订单，点击「同意退款」，选择退款金额（默认全额/自定义金额），填写退款备注（简要说明原因，如“漏送可乐，退3元”）；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操作完成后，主动通过平台聊天窗口告知用户退款已处理，同步退款到账时限；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所有退款记录（金额、原因、操作人、时间）需在后台「退款记录」中留存，每日下班前由店长核对一次。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特殊场景退款处理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用户误申请退款</w:t>
      </w:r>
      <w:r>
        <w:rPr>
          <w:rFonts w:eastAsia="等线" w:ascii="Arial" w:cs="Arial" w:hAnsi="Arial"/>
          <w:sz w:val="22"/>
        </w:rPr>
        <w:t>：店员/店长主动联系用户，核实情况后，引导用户撤销退款申请，话术参考下方“误申请退款话术”；若用户已撤销，后台标记“撤销退款”，留存沟通记录。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餐品已出餐/配送中申请退款</w:t>
      </w:r>
      <w:r>
        <w:rPr>
          <w:rFonts w:eastAsia="等线" w:ascii="Arial" w:cs="Arial" w:hAnsi="Arial"/>
          <w:sz w:val="22"/>
        </w:rPr>
        <w:t>：中额及以上退款需店长联系骑手确认餐品状态，若餐品未送达，协商用户拒收后，再办理退款；若已送达，需核实用户反馈（如餐品变质），留存证据后按对应金额审批退款。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平台介入退款</w:t>
      </w:r>
      <w:r>
        <w:rPr>
          <w:rFonts w:eastAsia="等线" w:ascii="Arial" w:cs="Arial" w:hAnsi="Arial"/>
          <w:sz w:val="22"/>
        </w:rPr>
        <w:t>：立即响应平台通知，按平台要求提交相关凭证（沟通记录、餐品照片等），配合平台审核，不擅自拒绝合理退款，避免平台处罚。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二、退款相关回复话术（可直接复制使用）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 小额退款（≤5元）话术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【通用版】亲，非常抱歉给您带来不好的用餐体验！您申请的XX元退款已为您处理，退款将在1-3个工作日到账（具体到账时间以您的支付平台为准），后续我们会加强品控/服务，感谢您的理解~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【漏送小额话术】亲，实在抱歉！漏送了您点的XX，已为您退还XX元，后续我们会严格核对订单，避免再出现此类问题，祝您用餐愉快！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 中额/大额退款（＞5元）话术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【通用版】亲，非常抱歉给您带来不佳的体验，您反馈的问题我们已核实，经店长确认，已为您处理XX元退款，退款将在1-3个工作日到账。我们已记录问题并整改，感谢您的监督与理解！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全款退款话术】亲，实在抱歉！由于XX原因（如餐品变质、严重错送），给您带来了不好的体验，经门店负责人确认，已为您办理全款退款，退款1-3个工作日到账。我们会严肃处理相关问题，后续给您提供更好的用餐服务，望您谅解~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 误申请退款话术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【温和引导版】亲，您好！看到您申请了退款，请问是遇到什么问题啦？如果是误操作，您可以在订单详情页撤销退款申请哦~ 若有其他问题，随时跟我们说，我们一定及时为您解决！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【简洁版】亲，核实到您可能是误申请退款啦，如需撤销，可在订单详情页操作；若有实际问题（如餐品问题），请告知我们，我们立即处理！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 退款审核中话术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亲，您好！您的退款申请我们已收到，正在按流程审核（预计X分钟内完成），审核通过后会第一时间为您处理，到账后会及时通知您，感谢您的耐心等待~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 拒绝退款话术（仅适用于不合理退款）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亲，非常抱歉！经核实，您的退款申请不符合退款条件（如餐品已送达且无质量问题、恶意退款等），无法为您办理退款。若您有其他合理诉求，可详细告知我们，我们会尽力协调解决，感谢您的理解！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三、后台其他核心操作补充（适配RAG检索）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1. 订单异常处理（关联退款）</w:t>
      </w:r>
      <w:bookmarkEnd w:id="11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订单超时：用户未申请退款的，主动联系用户说明情况，赠送小额优惠券（如3元无门槛），避免用户申请退款；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餐品错送：若用户未申请退款，主动提出退款（按错送餐品金额）或重新配送，由用户选择，优先满足用户需求。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 话术使用注意事项</w:t>
      </w:r>
      <w:bookmarkEnd w:id="12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所有回复需礼貌、简洁，避免使用生硬语气，不与用户发生争执；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话术可根据实际场景调整（如用户情绪激动，可增加安抚语句），核心信息（退款金额、到账时间）不遗漏；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沟通记录需全部留存，便于后续核对及平台介入时提供凭证。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 责任划分及后续改进</w:t>
      </w:r>
      <w:bookmarkEnd w:id="13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因店员操作失误（如漏单、错单）导致的退款，由对应店员承担相关损失（按门店规定执行）；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每日店长汇总退款情况，分析高频退款原因（如品控问题、配送问题），组织店员整改，减少后续退款率。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四、RAG知识库适配说明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关键词标注：退款、小额退款、全款退款、误申请退款、订单异常、回复话术、审批权限；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检索逻辑：用户检索时，优先匹配核心关键词（如“小额退款流程”“全款退款话术”“误申请退款处理”），关联对应操作步骤和话术，确保检索结果精准对应实际需求；若检索关键词模糊（如“退款怎么处理”“订单异常怎么办”），自动匹配最相关的流程模块（如退款分级流程、订单异常处理），同时关联对应话术，方便快速调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内容适配优化：所有流程、话术均采用简洁明了的表述，避免冗余，关键信息（审批权限、处理时限、核心话术）突出，便于RAG模型快速抓取核心内容，提升检索响应速度；涉及操作步骤的内容，按“动作+要求”格式呈现，话术部分标注场景，可直接复制使用，降低使用门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补充检索关联：将高频关联场景进行绑定，如“订单超时”关联“订单异常处理”和“小额优惠券安抚话术”，“餐品变质”关联“全款退款流程”和“全款退款话术”，“误申请”关联“误申请退款引导话术”和“撤销操作提示”，提升检索的关联性和实用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维护说明：后续门店若调整退款金额分级、审批权限或话术，需同步更新本SOP，确保RAG知识库内容与实际操作一致；每月由门店负责人核对SOP内容，补充新增高频场景（如新增平台退款规则、新型客诉场景），保障知识库的时效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116897">
    <w:lvl>
      <w:numFmt w:val="bullet"/>
      <w:suff w:val="tab"/>
      <w:lvlText w:val="•"/>
      <w:rPr>
        <w:color w:val="3370ff"/>
      </w:rPr>
    </w:lvl>
  </w:abstractNum>
  <w:abstractNum w:abstractNumId="12116898">
    <w:lvl>
      <w:numFmt w:val="bullet"/>
      <w:suff w:val="tab"/>
      <w:lvlText w:val="•"/>
      <w:rPr>
        <w:color w:val="3370ff"/>
      </w:rPr>
    </w:lvl>
  </w:abstractNum>
  <w:abstractNum w:abstractNumId="12116899">
    <w:lvl>
      <w:numFmt w:val="bullet"/>
      <w:suff w:val="tab"/>
      <w:lvlText w:val="•"/>
      <w:rPr>
        <w:color w:val="3370ff"/>
      </w:rPr>
    </w:lvl>
  </w:abstractNum>
  <w:abstractNum w:abstractNumId="12116900">
    <w:lvl>
      <w:numFmt w:val="bullet"/>
      <w:suff w:val="tab"/>
      <w:lvlText w:val="•"/>
      <w:rPr>
        <w:color w:val="3370ff"/>
      </w:rPr>
    </w:lvl>
  </w:abstractNum>
  <w:abstractNum w:abstractNumId="12116901">
    <w:lvl>
      <w:start w:val="1"/>
      <w:numFmt w:val="decimal"/>
      <w:suff w:val="tab"/>
      <w:lvlText w:val="%1."/>
      <w:rPr>
        <w:color w:val="3370ff"/>
      </w:rPr>
    </w:lvl>
  </w:abstractNum>
  <w:abstractNum w:abstractNumId="12116902">
    <w:lvl>
      <w:start w:val="2"/>
      <w:numFmt w:val="decimal"/>
      <w:suff w:val="tab"/>
      <w:lvlText w:val="%1."/>
      <w:rPr>
        <w:color w:val="3370ff"/>
      </w:rPr>
    </w:lvl>
  </w:abstractNum>
  <w:abstractNum w:abstractNumId="12116903">
    <w:lvl>
      <w:start w:val="3"/>
      <w:numFmt w:val="decimal"/>
      <w:suff w:val="tab"/>
      <w:lvlText w:val="%1."/>
      <w:rPr>
        <w:color w:val="3370ff"/>
      </w:rPr>
    </w:lvl>
  </w:abstractNum>
  <w:abstractNum w:abstractNumId="12116904">
    <w:lvl>
      <w:start w:val="4"/>
      <w:numFmt w:val="decimal"/>
      <w:suff w:val="tab"/>
      <w:lvlText w:val="%1."/>
      <w:rPr>
        <w:color w:val="3370ff"/>
      </w:rPr>
    </w:lvl>
  </w:abstractNum>
  <w:abstractNum w:abstractNumId="12116905">
    <w:lvl>
      <w:start w:val="5"/>
      <w:numFmt w:val="decimal"/>
      <w:suff w:val="tab"/>
      <w:lvlText w:val="%1."/>
      <w:rPr>
        <w:color w:val="3370ff"/>
      </w:rPr>
    </w:lvl>
  </w:abstractNum>
  <w:abstractNum w:abstractNumId="12116906">
    <w:lvl>
      <w:numFmt w:val="bullet"/>
      <w:suff w:val="tab"/>
      <w:lvlText w:val="•"/>
      <w:rPr>
        <w:color w:val="3370ff"/>
      </w:rPr>
    </w:lvl>
  </w:abstractNum>
  <w:abstractNum w:abstractNumId="12116907">
    <w:lvl>
      <w:numFmt w:val="bullet"/>
      <w:suff w:val="tab"/>
      <w:lvlText w:val="•"/>
      <w:rPr>
        <w:color w:val="3370ff"/>
      </w:rPr>
    </w:lvl>
  </w:abstractNum>
  <w:abstractNum w:abstractNumId="12116908">
    <w:lvl>
      <w:numFmt w:val="bullet"/>
      <w:suff w:val="tab"/>
      <w:lvlText w:val="•"/>
      <w:rPr>
        <w:color w:val="3370ff"/>
      </w:rPr>
    </w:lvl>
  </w:abstractNum>
  <w:abstractNum w:abstractNumId="12116909">
    <w:lvl>
      <w:numFmt w:val="bullet"/>
      <w:suff w:val="tab"/>
      <w:lvlText w:val="•"/>
      <w:rPr>
        <w:color w:val="3370ff"/>
      </w:rPr>
    </w:lvl>
  </w:abstractNum>
  <w:abstractNum w:abstractNumId="12116910">
    <w:lvl>
      <w:numFmt w:val="bullet"/>
      <w:suff w:val="tab"/>
      <w:lvlText w:val="•"/>
      <w:rPr>
        <w:color w:val="3370ff"/>
      </w:rPr>
    </w:lvl>
  </w:abstractNum>
  <w:abstractNum w:abstractNumId="12116911">
    <w:lvl>
      <w:numFmt w:val="bullet"/>
      <w:suff w:val="tab"/>
      <w:lvlText w:val="•"/>
      <w:rPr>
        <w:color w:val="3370ff"/>
      </w:rPr>
    </w:lvl>
  </w:abstractNum>
  <w:abstractNum w:abstractNumId="12116912">
    <w:lvl>
      <w:numFmt w:val="bullet"/>
      <w:suff w:val="tab"/>
      <w:lvlText w:val="•"/>
      <w:rPr>
        <w:color w:val="3370ff"/>
      </w:rPr>
    </w:lvl>
  </w:abstractNum>
  <w:abstractNum w:abstractNumId="12116913">
    <w:lvl>
      <w:numFmt w:val="bullet"/>
      <w:suff w:val="tab"/>
      <w:lvlText w:val="•"/>
      <w:rPr>
        <w:color w:val="3370ff"/>
      </w:rPr>
    </w:lvl>
  </w:abstractNum>
  <w:abstractNum w:abstractNumId="12116914">
    <w:lvl>
      <w:numFmt w:val="bullet"/>
      <w:suff w:val="tab"/>
      <w:lvlText w:val="•"/>
      <w:rPr>
        <w:color w:val="3370ff"/>
      </w:rPr>
    </w:lvl>
  </w:abstractNum>
  <w:abstractNum w:abstractNumId="12116915">
    <w:lvl>
      <w:numFmt w:val="bullet"/>
      <w:suff w:val="tab"/>
      <w:lvlText w:val="•"/>
      <w:rPr>
        <w:color w:val="3370ff"/>
      </w:rPr>
    </w:lvl>
  </w:abstractNum>
  <w:num w:numId="1">
    <w:abstractNumId w:val="12116897"/>
  </w:num>
  <w:num w:numId="2">
    <w:abstractNumId w:val="12116898"/>
  </w:num>
  <w:num w:numId="3">
    <w:abstractNumId w:val="12116899"/>
  </w:num>
  <w:num w:numId="4">
    <w:abstractNumId w:val="12116900"/>
  </w:num>
  <w:num w:numId="5">
    <w:abstractNumId w:val="12116901"/>
  </w:num>
  <w:num w:numId="6">
    <w:abstractNumId w:val="12116902"/>
  </w:num>
  <w:num w:numId="7">
    <w:abstractNumId w:val="12116903"/>
  </w:num>
  <w:num w:numId="8">
    <w:abstractNumId w:val="12116904"/>
  </w:num>
  <w:num w:numId="9">
    <w:abstractNumId w:val="12116905"/>
  </w:num>
  <w:num w:numId="10">
    <w:abstractNumId w:val="12116906"/>
  </w:num>
  <w:num w:numId="11">
    <w:abstractNumId w:val="12116907"/>
  </w:num>
  <w:num w:numId="12">
    <w:abstractNumId w:val="12116908"/>
  </w:num>
  <w:num w:numId="13">
    <w:abstractNumId w:val="12116909"/>
  </w:num>
  <w:num w:numId="14">
    <w:abstractNumId w:val="12116910"/>
  </w:num>
  <w:num w:numId="15">
    <w:abstractNumId w:val="12116911"/>
  </w:num>
  <w:num w:numId="16">
    <w:abstractNumId w:val="12116912"/>
  </w:num>
  <w:num w:numId="17">
    <w:abstractNumId w:val="12116913"/>
  </w:num>
  <w:num w:numId="18">
    <w:abstractNumId w:val="12116914"/>
  </w:num>
  <w:num w:numId="19">
    <w:abstractNumId w:val="121169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2026-03-06T09:18:31Z</dcterms:created>
  <dc:creator>Apache POI</dc:creator>
</cp:coreProperties>
</file>