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6C842" w14:textId="77777777" w:rsidR="00D666FF" w:rsidRDefault="005756AD" w:rsidP="00D666FF">
      <w:pPr>
        <w:jc w:val="center"/>
        <w:rPr>
          <w:b/>
          <w:bCs/>
          <w:sz w:val="28"/>
          <w:szCs w:val="28"/>
        </w:rPr>
      </w:pPr>
      <w:r w:rsidRPr="005756AD">
        <w:rPr>
          <w:b/>
          <w:bCs/>
          <w:sz w:val="28"/>
          <w:szCs w:val="28"/>
        </w:rPr>
        <w:t>Research Proposal: Bureaucratic Tool Choice and Local Fiscal Capacity in Chinese Industrial Policy</w:t>
      </w:r>
    </w:p>
    <w:p w14:paraId="6EF1C902" w14:textId="77777777" w:rsidR="00D666FF" w:rsidRPr="00D666FF" w:rsidRDefault="00D666FF" w:rsidP="00D666FF">
      <w:pPr>
        <w:pStyle w:val="1"/>
        <w:rPr>
          <w:rFonts w:cs="Times New Roman"/>
          <w:szCs w:val="24"/>
        </w:rPr>
      </w:pPr>
      <w:r w:rsidRPr="00D666FF">
        <w:rPr>
          <w:rFonts w:cs="Times New Roman"/>
          <w:szCs w:val="24"/>
        </w:rPr>
        <w:t>Intro</w:t>
      </w:r>
    </w:p>
    <w:p w14:paraId="7D97BCA7" w14:textId="2C7A67ED" w:rsidR="005756AD" w:rsidRPr="00D666FF" w:rsidRDefault="005756AD" w:rsidP="00D666FF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5756AD">
        <w:t xml:space="preserve">Local governments do not merely differ in </w:t>
      </w:r>
      <w:r w:rsidRPr="005756AD">
        <w:rPr>
          <w:i/>
          <w:iCs/>
        </w:rPr>
        <w:t>how much</w:t>
      </w:r>
      <w:r w:rsidRPr="005756AD">
        <w:t xml:space="preserve"> industrial policy they deploy — they differ systematically in </w:t>
      </w:r>
      <w:r w:rsidRPr="005756AD">
        <w:rPr>
          <w:i/>
          <w:iCs/>
        </w:rPr>
        <w:t>which instrument</w:t>
      </w:r>
      <w:r w:rsidRPr="005756AD">
        <w:t xml:space="preserve"> they deploy, and this proposal argues that instrument choice is itself a downstream consequence of fiscal capacity rather than a free policy preference. The design below combines supervised text classification of municipal industrial-policy documents with a regression discontinuity design (RDD) around a fiscal-transfer eligibility threshold to recover a causal estimate of fiscal capacity</w:t>
      </w:r>
      <w:r>
        <w:t>’</w:t>
      </w:r>
      <w:r w:rsidRPr="005756AD">
        <w:t>s effect on tool choice.</w:t>
      </w:r>
      <w:r w:rsidRPr="005756AD">
        <w:t xml:space="preserve"> </w:t>
      </w:r>
    </w:p>
    <w:p w14:paraId="5733C19D" w14:textId="2E72E9F7" w:rsidR="005756AD" w:rsidRPr="00D666FF" w:rsidRDefault="005756AD" w:rsidP="00D666FF">
      <w:pPr>
        <w:pStyle w:val="1"/>
        <w:rPr>
          <w:rFonts w:cs="Times New Roman"/>
          <w:szCs w:val="24"/>
        </w:rPr>
      </w:pPr>
      <w:r w:rsidRPr="00D666FF">
        <w:rPr>
          <w:rFonts w:cs="Times New Roman"/>
          <w:szCs w:val="24"/>
        </w:rPr>
        <w:t>The Puzzle</w:t>
      </w:r>
    </w:p>
    <w:p w14:paraId="779797B9" w14:textId="62F22EB1" w:rsidR="005756AD" w:rsidRPr="005756AD" w:rsidRDefault="005756AD" w:rsidP="005756AD">
      <w:pPr>
        <w:pBdr>
          <w:bottom w:val="single" w:sz="6" w:space="1" w:color="auto"/>
        </w:pBdr>
        <w:ind w:firstLine="420"/>
        <w:jc w:val="both"/>
      </w:pPr>
      <w:r w:rsidRPr="005756AD">
        <w:t>Local governments</w:t>
      </w:r>
      <w:r>
        <w:rPr>
          <w:rFonts w:hint="eastAsia"/>
        </w:rPr>
        <w:t xml:space="preserve"> (which </w:t>
      </w:r>
      <w:r>
        <w:t>include</w:t>
      </w:r>
      <w:r>
        <w:rPr>
          <w:rFonts w:hint="eastAsia"/>
        </w:rPr>
        <w:t xml:space="preserve"> provincial, prefectural, county, etc., referring to those apart from central government) </w:t>
      </w:r>
      <w:r w:rsidRPr="005756AD">
        <w:t xml:space="preserve">in China originate roughly 80% of all industrial policy documents, yet the instruments they use — subsidies, tax breaks, preferential land, credit guidance, or state equity — vary enormously across cities with similar development mandates (Fang et al., 2025). Existing accounts treat this variation as a preference or ideology story, but a competing </w:t>
      </w:r>
      <w:r>
        <w:t>“</w:t>
      </w:r>
      <w:r w:rsidRPr="005756AD">
        <w:t>fiscal-capacity</w:t>
      </w:r>
      <w:r>
        <w:t>”</w:t>
      </w:r>
      <w:r w:rsidRPr="005756AD">
        <w:t xml:space="preserve"> account holds that equity and guidance-fund instruments require sophisticated financial administration and balance-sheet capacity that only fiscally healthy governments possess, while land- and tax-based tools are the default of fiscally constrained bureaucracies reliant on land finance (Gyourko et al., 2022).</w:t>
      </w:r>
    </w:p>
    <w:p w14:paraId="0DA47F6F" w14:textId="31034429" w:rsidR="005756AD" w:rsidRPr="005756AD" w:rsidRDefault="005756AD" w:rsidP="00D666FF">
      <w:pPr>
        <w:pStyle w:val="1"/>
      </w:pPr>
      <w:r w:rsidRPr="005756AD">
        <w:t>Theory and Hypotheses</w:t>
      </w:r>
    </w:p>
    <w:p w14:paraId="7AB97619" w14:textId="3211E3D0" w:rsidR="005756AD" w:rsidRPr="005756AD" w:rsidRDefault="005756AD" w:rsidP="005756AD">
      <w:pPr>
        <w:ind w:firstLine="360"/>
        <w:jc w:val="both"/>
      </w:pPr>
      <w:r w:rsidRPr="005756AD">
        <w:t>The core argument is that fiscal capacity operates as a bureaucratic capability constraint, not merely a preference shifter</w:t>
      </w:r>
      <w:r>
        <w:rPr>
          <w:rFonts w:hint="eastAsia"/>
        </w:rPr>
        <w:t>.</w:t>
      </w:r>
      <w:r w:rsidRPr="005756AD">
        <w:t xml:space="preserve"> </w:t>
      </w:r>
      <w:r>
        <w:rPr>
          <w:rFonts w:hint="eastAsia"/>
        </w:rPr>
        <w:t>A</w:t>
      </w:r>
      <w:r w:rsidRPr="005756AD">
        <w:t xml:space="preserve">dministering an equity stake or guidance fund requires monitoring, exit, and valuation capacity that cash-strapped bureaucracies cannot easily build, pushing them toward administratively simpler land and tax concessions (Fang et al., 2025). Three hypotheses </w:t>
      </w:r>
      <w:r>
        <w:rPr>
          <w:rFonts w:hint="eastAsia"/>
        </w:rPr>
        <w:t xml:space="preserve">thus naturally </w:t>
      </w:r>
      <w:r w:rsidRPr="005756AD">
        <w:t>follow.</w:t>
      </w:r>
    </w:p>
    <w:p w14:paraId="30BF0D32" w14:textId="77777777" w:rsidR="005756AD" w:rsidRPr="005756AD" w:rsidRDefault="005756AD" w:rsidP="005756AD">
      <w:pPr>
        <w:numPr>
          <w:ilvl w:val="0"/>
          <w:numId w:val="2"/>
        </w:numPr>
        <w:jc w:val="both"/>
      </w:pPr>
      <w:r w:rsidRPr="005756AD">
        <w:rPr>
          <w:b/>
          <w:bCs/>
        </w:rPr>
        <w:t>H</w:t>
      </w:r>
      <w:r>
        <w:rPr>
          <w:rFonts w:hint="eastAsia"/>
          <w:b/>
          <w:bCs/>
        </w:rPr>
        <w:t>1</w:t>
      </w:r>
      <w:r w:rsidRPr="005756AD">
        <w:rPr>
          <w:b/>
          <w:bCs/>
        </w:rPr>
        <w:t xml:space="preserve"> (</w:t>
      </w:r>
      <w:r>
        <w:rPr>
          <w:rFonts w:hint="eastAsia"/>
          <w:b/>
          <w:bCs/>
        </w:rPr>
        <w:t>Main</w:t>
      </w:r>
      <w:r w:rsidRPr="005756AD">
        <w:rPr>
          <w:b/>
          <w:bCs/>
        </w:rPr>
        <w:t>):</w:t>
      </w:r>
      <w:r w:rsidRPr="005756AD">
        <w:t xml:space="preserve"> Fiscal capacity affects the composition of tools used, not simply the total volume of industrial policy activity, distinguishing a capacity story from a pure resource-abundance story.</w:t>
      </w:r>
    </w:p>
    <w:p w14:paraId="37F4A6CD" w14:textId="7180CDE4" w:rsidR="005756AD" w:rsidRPr="005756AD" w:rsidRDefault="005756AD" w:rsidP="005756AD">
      <w:pPr>
        <w:numPr>
          <w:ilvl w:val="0"/>
          <w:numId w:val="2"/>
        </w:numPr>
        <w:jc w:val="both"/>
      </w:pPr>
      <w:r w:rsidRPr="005756AD">
        <w:rPr>
          <w:b/>
          <w:bCs/>
        </w:rPr>
        <w:t>H</w:t>
      </w:r>
      <w:r>
        <w:rPr>
          <w:rFonts w:hint="eastAsia"/>
          <w:b/>
          <w:bCs/>
        </w:rPr>
        <w:t>2</w:t>
      </w:r>
      <w:r w:rsidRPr="005756AD">
        <w:rPr>
          <w:b/>
          <w:bCs/>
        </w:rPr>
        <w:t xml:space="preserve"> (capacity-instrument matching): </w:t>
      </w:r>
      <w:r w:rsidRPr="005756AD">
        <w:t xml:space="preserve">Cities with higher fiscal capacity are </w:t>
      </w:r>
      <w:r w:rsidRPr="005756AD">
        <w:lastRenderedPageBreak/>
        <w:t>more likely to use equity/guidance-fund and credit-guidance instruments relative to land or tax instruments</w:t>
      </w:r>
      <w:r>
        <w:rPr>
          <w:rFonts w:hint="eastAsia"/>
        </w:rPr>
        <w:t>, in comparison with those cities with lower fiscal capacity</w:t>
      </w:r>
      <w:r w:rsidRPr="005756AD">
        <w:t>.</w:t>
      </w:r>
    </w:p>
    <w:p w14:paraId="3FAFDAEB" w14:textId="20ED7C9C" w:rsidR="005756AD" w:rsidRPr="005756AD" w:rsidRDefault="005756AD" w:rsidP="005756AD">
      <w:pPr>
        <w:numPr>
          <w:ilvl w:val="0"/>
          <w:numId w:val="2"/>
        </w:numPr>
        <w:pBdr>
          <w:bottom w:val="single" w:sz="6" w:space="1" w:color="auto"/>
        </w:pBdr>
        <w:jc w:val="both"/>
      </w:pPr>
      <w:r w:rsidRPr="005756AD">
        <w:rPr>
          <w:b/>
          <w:bCs/>
        </w:rPr>
        <w:t>H</w:t>
      </w:r>
      <w:r>
        <w:rPr>
          <w:rFonts w:hint="eastAsia"/>
          <w:b/>
          <w:bCs/>
        </w:rPr>
        <w:t>3</w:t>
      </w:r>
      <w:r w:rsidRPr="005756AD">
        <w:rPr>
          <w:b/>
          <w:bCs/>
        </w:rPr>
        <w:t xml:space="preserve"> (threshold discontinuity):</w:t>
      </w:r>
      <w:r w:rsidRPr="005756AD">
        <w:t xml:space="preserve"> Crossing a fiscal-transfer eligibility threshold produces a discrete jump in the probability of equity/credit tool adoption, net of underlying economic characteristics.</w:t>
      </w:r>
    </w:p>
    <w:p w14:paraId="1768F390" w14:textId="1B152FFF" w:rsidR="005756AD" w:rsidRPr="005756AD" w:rsidRDefault="005756AD" w:rsidP="00D666FF">
      <w:pPr>
        <w:pStyle w:val="1"/>
      </w:pPr>
      <w:r w:rsidRPr="005756AD">
        <w:t>Identification Strategy</w:t>
      </w:r>
    </w:p>
    <w:p w14:paraId="30548E91" w14:textId="77777777" w:rsidR="005756AD" w:rsidRPr="005756AD" w:rsidRDefault="005756AD" w:rsidP="005756AD">
      <w:pPr>
        <w:ind w:firstLine="420"/>
        <w:jc w:val="both"/>
      </w:pPr>
      <w:r w:rsidRPr="005756AD">
        <w:t>The central empirical challenge is that fiscal capacity correlates with unobserved local economic strength, so OLS estimates of capacity on tool choice are confounded. The design exploits a sharp, rule-based fiscal-transfer eligibility threshold as a source of as-if-random variation in effective fiscal capacity for cities just above versus below the cutoff, following the logic of eligibility-threshold designs used to study fiscal equalization in China (Heng, 2008; Meng, 2013).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6651"/>
      </w:tblGrid>
      <w:tr w:rsidR="005756AD" w:rsidRPr="005756AD" w14:paraId="75FAE4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E0D72" w14:textId="77777777" w:rsidR="005756AD" w:rsidRPr="005756AD" w:rsidRDefault="005756AD" w:rsidP="005756AD">
            <w:pPr>
              <w:jc w:val="both"/>
              <w:rPr>
                <w:b/>
                <w:bCs/>
              </w:rPr>
            </w:pPr>
            <w:r w:rsidRPr="005756AD">
              <w:rPr>
                <w:b/>
                <w:bCs/>
              </w:rPr>
              <w:t>Design component</w:t>
            </w:r>
          </w:p>
        </w:tc>
        <w:tc>
          <w:tcPr>
            <w:tcW w:w="0" w:type="auto"/>
            <w:vAlign w:val="center"/>
            <w:hideMark/>
          </w:tcPr>
          <w:p w14:paraId="65868DCD" w14:textId="77777777" w:rsidR="005756AD" w:rsidRPr="005756AD" w:rsidRDefault="005756AD" w:rsidP="005756AD">
            <w:pPr>
              <w:jc w:val="both"/>
              <w:rPr>
                <w:b/>
                <w:bCs/>
              </w:rPr>
            </w:pPr>
            <w:r w:rsidRPr="005756AD">
              <w:rPr>
                <w:b/>
                <w:bCs/>
              </w:rPr>
              <w:t>Specification</w:t>
            </w:r>
          </w:p>
        </w:tc>
      </w:tr>
      <w:tr w:rsidR="005756AD" w:rsidRPr="005756AD" w14:paraId="4DCCD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DA182" w14:textId="77777777" w:rsidR="005756AD" w:rsidRPr="005756AD" w:rsidRDefault="005756AD" w:rsidP="005756AD">
            <w:pPr>
              <w:jc w:val="both"/>
            </w:pPr>
            <w:r w:rsidRPr="005756AD">
              <w:t>Running variable</w:t>
            </w:r>
          </w:p>
        </w:tc>
        <w:tc>
          <w:tcPr>
            <w:tcW w:w="0" w:type="auto"/>
            <w:vAlign w:val="center"/>
            <w:hideMark/>
          </w:tcPr>
          <w:p w14:paraId="3299B54B" w14:textId="77777777" w:rsidR="005756AD" w:rsidRPr="005756AD" w:rsidRDefault="005756AD" w:rsidP="005756AD">
            <w:pPr>
              <w:jc w:val="both"/>
            </w:pPr>
            <w:r w:rsidRPr="005756AD">
              <w:t>City per-capita fiscal revenue (or transfer-eligibility score) centered on cutoff (Heng, 2008)</w:t>
            </w:r>
          </w:p>
        </w:tc>
      </w:tr>
      <w:tr w:rsidR="005756AD" w:rsidRPr="005756AD" w14:paraId="44CA9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13335" w14:textId="77777777" w:rsidR="005756AD" w:rsidRPr="005756AD" w:rsidRDefault="005756AD" w:rsidP="005756AD">
            <w:pPr>
              <w:jc w:val="both"/>
            </w:pPr>
            <w:r w:rsidRPr="005756AD">
              <w:t>Treatment</w:t>
            </w:r>
          </w:p>
        </w:tc>
        <w:tc>
          <w:tcPr>
            <w:tcW w:w="0" w:type="auto"/>
            <w:vAlign w:val="center"/>
            <w:hideMark/>
          </w:tcPr>
          <w:p w14:paraId="7CD65011" w14:textId="77777777" w:rsidR="005756AD" w:rsidRPr="005756AD" w:rsidRDefault="005756AD" w:rsidP="005756AD">
            <w:pPr>
              <w:jc w:val="both"/>
            </w:pPr>
            <w:r w:rsidRPr="005756AD">
              <w:t>Above-threshold status (higher effective fiscal capacity)</w:t>
            </w:r>
          </w:p>
        </w:tc>
      </w:tr>
      <w:tr w:rsidR="005756AD" w:rsidRPr="005756AD" w14:paraId="10A4A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18EBF" w14:textId="77777777" w:rsidR="005756AD" w:rsidRPr="005756AD" w:rsidRDefault="005756AD" w:rsidP="005756AD">
            <w:pPr>
              <w:jc w:val="both"/>
            </w:pPr>
            <w:r w:rsidRPr="005756AD">
              <w:t>Outcome</w:t>
            </w:r>
          </w:p>
        </w:tc>
        <w:tc>
          <w:tcPr>
            <w:tcW w:w="0" w:type="auto"/>
            <w:vAlign w:val="center"/>
            <w:hideMark/>
          </w:tcPr>
          <w:p w14:paraId="273E0077" w14:textId="77777777" w:rsidR="005756AD" w:rsidRPr="005756AD" w:rsidRDefault="005756AD" w:rsidP="005756AD">
            <w:pPr>
              <w:jc w:val="both"/>
            </w:pPr>
            <w:r w:rsidRPr="005756AD">
              <w:t>Predicted policy-tool category share (equity/credit vs. land/tax) from text classifier</w:t>
            </w:r>
          </w:p>
        </w:tc>
      </w:tr>
      <w:tr w:rsidR="005756AD" w:rsidRPr="005756AD" w14:paraId="7C995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2D6F4" w14:textId="77777777" w:rsidR="005756AD" w:rsidRPr="005756AD" w:rsidRDefault="005756AD" w:rsidP="005756AD">
            <w:pPr>
              <w:jc w:val="both"/>
            </w:pPr>
            <w:r w:rsidRPr="005756AD">
              <w:t>Estimator</w:t>
            </w:r>
          </w:p>
        </w:tc>
        <w:tc>
          <w:tcPr>
            <w:tcW w:w="0" w:type="auto"/>
            <w:vAlign w:val="center"/>
            <w:hideMark/>
          </w:tcPr>
          <w:p w14:paraId="515D1FCA" w14:textId="77777777" w:rsidR="005756AD" w:rsidRPr="005756AD" w:rsidRDefault="005756AD" w:rsidP="005756AD">
            <w:pPr>
              <w:jc w:val="both"/>
            </w:pPr>
            <w:r w:rsidRPr="005756AD">
              <w:t>Local linear/quadratic RD, bias-corrected robust confidence intervals</w:t>
            </w:r>
          </w:p>
        </w:tc>
      </w:tr>
      <w:tr w:rsidR="005756AD" w:rsidRPr="005756AD" w14:paraId="5CAD2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92922" w14:textId="77777777" w:rsidR="005756AD" w:rsidRPr="005756AD" w:rsidRDefault="005756AD" w:rsidP="005756AD">
            <w:pPr>
              <w:jc w:val="both"/>
            </w:pPr>
            <w:r w:rsidRPr="005756AD">
              <w:t>Validity checks</w:t>
            </w:r>
          </w:p>
        </w:tc>
        <w:tc>
          <w:tcPr>
            <w:tcW w:w="0" w:type="auto"/>
            <w:vAlign w:val="center"/>
            <w:hideMark/>
          </w:tcPr>
          <w:p w14:paraId="576BC68E" w14:textId="77777777" w:rsidR="005756AD" w:rsidRPr="005756AD" w:rsidRDefault="005756AD" w:rsidP="005756AD">
            <w:pPr>
              <w:jc w:val="both"/>
            </w:pPr>
            <w:r w:rsidRPr="005756AD">
              <w:t>Density-manipulation test, covariate-balance tests, placebo cutoffs, donut-hole and bandwidth sensitivity</w:t>
            </w:r>
          </w:p>
        </w:tc>
      </w:tr>
    </w:tbl>
    <w:p w14:paraId="78DEDB9E" w14:textId="70E09A64" w:rsidR="005756AD" w:rsidRPr="005756AD" w:rsidRDefault="005756AD" w:rsidP="005756AD">
      <w:pPr>
        <w:pBdr>
          <w:bottom w:val="single" w:sz="6" w:space="1" w:color="auto"/>
        </w:pBdr>
        <w:jc w:val="both"/>
      </w:pPr>
      <w:r w:rsidRPr="005756AD">
        <w:t>Manipulation of the running variable is a first-order threat given that fiscal reporting in China is subject to political massaging around thresholds; the density-manipulation test and donut-hole exclusion of observations immediately adjacent to the cutoff address this directly, following the precedent of Meng</w:t>
      </w:r>
      <w:r w:rsidR="00D666FF">
        <w:t>’</w:t>
      </w:r>
      <w:r w:rsidRPr="005756AD">
        <w:t>s (2013) regression discontinuity evaluation of China</w:t>
      </w:r>
      <w:r w:rsidR="00D666FF">
        <w:t>’</w:t>
      </w:r>
      <w:r w:rsidRPr="005756AD">
        <w:t>s poverty-county threshold.</w:t>
      </w:r>
    </w:p>
    <w:p w14:paraId="189C2A8C" w14:textId="091E38E0" w:rsidR="005756AD" w:rsidRPr="005756AD" w:rsidRDefault="005756AD" w:rsidP="00D666FF">
      <w:pPr>
        <w:pStyle w:val="1"/>
      </w:pPr>
      <w:r w:rsidRPr="005756AD">
        <w:t>Workplan</w:t>
      </w:r>
    </w:p>
    <w:p w14:paraId="7728958A" w14:textId="77777777" w:rsidR="00D666FF" w:rsidRDefault="005756AD" w:rsidP="005756AD">
      <w:pPr>
        <w:jc w:val="both"/>
      </w:pPr>
      <w:r w:rsidRPr="005756AD">
        <w:rPr>
          <w:b/>
          <w:bCs/>
        </w:rPr>
        <w:t>Phase 1 — Data collection (Colab/Python).</w:t>
      </w:r>
      <w:r w:rsidRPr="005756AD">
        <w:t xml:space="preserve"> </w:t>
      </w:r>
    </w:p>
    <w:p w14:paraId="3A18F0EF" w14:textId="727B16DA" w:rsidR="005756AD" w:rsidRPr="005756AD" w:rsidRDefault="005756AD" w:rsidP="005756AD">
      <w:pPr>
        <w:jc w:val="both"/>
      </w:pPr>
      <w:r w:rsidRPr="005756AD">
        <w:lastRenderedPageBreak/>
        <w:t>Build a scraper targeting municipal government portals and legal databases for prefecture-level industrial policy documents (2010–2023); deduplicate and OCR scanned PDFs where needed.</w:t>
      </w:r>
    </w:p>
    <w:p w14:paraId="240DFEC1" w14:textId="77777777" w:rsidR="00D666FF" w:rsidRDefault="005756AD" w:rsidP="005756AD">
      <w:pPr>
        <w:jc w:val="both"/>
      </w:pPr>
      <w:r w:rsidRPr="005756AD">
        <w:rPr>
          <w:b/>
          <w:bCs/>
        </w:rPr>
        <w:t>Phase 2 — Policy-tool classification (Colab/Python).</w:t>
      </w:r>
      <w:r w:rsidRPr="005756AD">
        <w:t xml:space="preserve"> </w:t>
      </w:r>
    </w:p>
    <w:p w14:paraId="69DFE3E1" w14:textId="54AB37A9" w:rsidR="005756AD" w:rsidRPr="005756AD" w:rsidRDefault="00D666FF" w:rsidP="005756AD">
      <w:pPr>
        <w:jc w:val="both"/>
      </w:pPr>
      <w:commentRangeStart w:id="0"/>
      <w:r>
        <w:rPr>
          <w:rFonts w:hint="eastAsia"/>
        </w:rPr>
        <w:t>C</w:t>
      </w:r>
      <w:r w:rsidR="005756AD" w:rsidRPr="005756AD">
        <w:t>ode a training subsample into instrument categories (subsidy, tax break, land grant, equity/guidance fund, credit guidance) following the taxonomy validated in recent large-language-model-based policy decoding work (Fang et al., 2025); fine-tune a transformer classifier rather than a bag-of-words model, since transfer-learning approaches outperform traditional supervised classifiers, especially with limited labeled data (Terechshenko &amp; Linder, 2022); validate against a held-out set, optionally benchmarking against active-learning approaches to reduce labeling cost (Bosley et al., 2025).</w:t>
      </w:r>
      <w:commentRangeEnd w:id="0"/>
      <w:r w:rsidRPr="005756AD">
        <w:rPr>
          <w:rStyle w:val="af0"/>
          <w:sz w:val="24"/>
          <w:szCs w:val="24"/>
        </w:rPr>
        <w:commentReference w:id="0"/>
      </w:r>
    </w:p>
    <w:p w14:paraId="4CD19E5B" w14:textId="77777777" w:rsidR="00D666FF" w:rsidRDefault="005756AD" w:rsidP="005756AD">
      <w:pPr>
        <w:jc w:val="both"/>
      </w:pPr>
      <w:r w:rsidRPr="005756AD">
        <w:rPr>
          <w:b/>
          <w:bCs/>
        </w:rPr>
        <w:t>Phase 3 — Fiscal capacity and threshold construction (Colab/R).</w:t>
      </w:r>
      <w:r w:rsidRPr="005756AD">
        <w:t xml:space="preserve"> </w:t>
      </w:r>
    </w:p>
    <w:p w14:paraId="4D360D86" w14:textId="47F2E896" w:rsidR="005756AD" w:rsidRPr="005756AD" w:rsidRDefault="005756AD" w:rsidP="005756AD">
      <w:pPr>
        <w:jc w:val="both"/>
      </w:pPr>
      <w:r w:rsidRPr="005756AD">
        <w:t>Merge classified documents to city-year fiscal panel data using published eligibility criteria to identify the exact threshold rule, drawing on established measures of county-level fiscal disparity and transfer dependency (Heng, 2008).</w:t>
      </w:r>
    </w:p>
    <w:p w14:paraId="0D319F74" w14:textId="77777777" w:rsidR="00D666FF" w:rsidRDefault="005756AD" w:rsidP="005756AD">
      <w:pPr>
        <w:jc w:val="both"/>
      </w:pPr>
      <w:r w:rsidRPr="005756AD">
        <w:rPr>
          <w:b/>
          <w:bCs/>
        </w:rPr>
        <w:t>Phase 4 — RDD estimation and inference (Colab/R).</w:t>
      </w:r>
      <w:r w:rsidRPr="005756AD">
        <w:t xml:space="preserve"> </w:t>
      </w:r>
    </w:p>
    <w:p w14:paraId="2DB19EE7" w14:textId="4054B85D" w:rsidR="005756AD" w:rsidRPr="005756AD" w:rsidRDefault="005756AD" w:rsidP="005756AD">
      <w:pPr>
        <w:jc w:val="both"/>
      </w:pPr>
      <w:r w:rsidRPr="005756AD">
        <w:t>Estimate local-linear/quadratic RD models, compute optimal bandwidths, run density-manipulation tests, and conduct covariate-balance checks on pre-threshold economic controls, consistent with best practice in RD applications to Chinese eligibility rules (Meng, 2013).</w:t>
      </w:r>
    </w:p>
    <w:p w14:paraId="0E8594AC" w14:textId="77777777" w:rsidR="00D666FF" w:rsidRDefault="005756AD" w:rsidP="005756AD">
      <w:pPr>
        <w:jc w:val="both"/>
      </w:pPr>
      <w:r w:rsidRPr="005756AD">
        <w:rPr>
          <w:b/>
          <w:bCs/>
        </w:rPr>
        <w:t>Phase 5 — Robustness and mechanism.</w:t>
      </w:r>
      <w:r w:rsidRPr="005756AD">
        <w:t xml:space="preserve"> </w:t>
      </w:r>
    </w:p>
    <w:p w14:paraId="1229D9DD" w14:textId="21A83CA0" w:rsidR="005756AD" w:rsidRPr="005756AD" w:rsidRDefault="005756AD" w:rsidP="005756AD">
      <w:pPr>
        <w:pBdr>
          <w:bottom w:val="single" w:sz="6" w:space="1" w:color="auto"/>
        </w:pBdr>
        <w:jc w:val="both"/>
      </w:pPr>
      <w:r w:rsidRPr="005756AD">
        <w:t>Test H</w:t>
      </w:r>
      <w:r w:rsidR="00D666FF">
        <w:rPr>
          <w:rFonts w:hint="eastAsia"/>
        </w:rPr>
        <w:t>1</w:t>
      </w:r>
      <w:r w:rsidRPr="005756AD">
        <w:t xml:space="preserve"> by re-estimating with tool-count outcomes as a falsification exercise, run placebo cutoffs at arbitrary revenue levels, and probe heterogeneity by bureaucratic capacity proxies to distinguish the capability-constraint mechanism from pure resource abundance.</w:t>
      </w:r>
    </w:p>
    <w:p w14:paraId="6A97B3DF" w14:textId="68BA61E9" w:rsidR="005756AD" w:rsidRPr="005756AD" w:rsidRDefault="005756AD" w:rsidP="00D666FF">
      <w:pPr>
        <w:pStyle w:val="1"/>
      </w:pPr>
      <w:r w:rsidRPr="005756AD">
        <w:t>Tools and Reproducibility</w:t>
      </w:r>
    </w:p>
    <w:p w14:paraId="58DC61E1" w14:textId="77777777" w:rsidR="005756AD" w:rsidRPr="005756AD" w:rsidRDefault="005756AD" w:rsidP="005756AD">
      <w:pPr>
        <w:pBdr>
          <w:bottom w:val="single" w:sz="6" w:space="1" w:color="auto"/>
        </w:pBdr>
        <w:jc w:val="both"/>
      </w:pPr>
      <w:r w:rsidRPr="005756AD">
        <w:t xml:space="preserve">All scraping, classification, and modeling pipelines run in Google Colab with a Python front end for data collection and </w:t>
      </w:r>
      <w:commentRangeStart w:id="1"/>
      <w:r w:rsidRPr="005756AD">
        <w:t>natural language processing</w:t>
      </w:r>
      <w:commentRangeEnd w:id="1"/>
      <w:r w:rsidR="00D666FF" w:rsidRPr="005756AD">
        <w:rPr>
          <w:rStyle w:val="af0"/>
          <w:sz w:val="24"/>
          <w:szCs w:val="24"/>
        </w:rPr>
        <w:commentReference w:id="1"/>
      </w:r>
      <w:r w:rsidRPr="005756AD">
        <w:t>, and an R kernel for causal estimation, ensuring a single, version-controlled, reproducible notebook chain from raw text to regression discontinuity estimates.</w:t>
      </w:r>
    </w:p>
    <w:p w14:paraId="19A3D5D9" w14:textId="1124AF72" w:rsidR="005756AD" w:rsidRPr="005756AD" w:rsidRDefault="005756AD" w:rsidP="00D666FF">
      <w:pPr>
        <w:pStyle w:val="1"/>
      </w:pPr>
      <w:r w:rsidRPr="005756AD">
        <w:lastRenderedPageBreak/>
        <w:t>Contribution</w:t>
      </w:r>
    </w:p>
    <w:p w14:paraId="3D4FA8E5" w14:textId="77777777" w:rsidR="005756AD" w:rsidRPr="005756AD" w:rsidRDefault="005756AD" w:rsidP="005756AD">
      <w:pPr>
        <w:pBdr>
          <w:bottom w:val="single" w:sz="6" w:space="1" w:color="auto"/>
        </w:pBdr>
        <w:jc w:val="both"/>
      </w:pPr>
      <w:r w:rsidRPr="005756AD">
        <w:t>This design moves the developmental-state literature from describing which tools states use to explaining why capacity — not just preference — allocates governments across a menu of instruments, using a transparent, falsifiable causal identification strategy rather than cross-sectional correlation (Fang et al., 2025; Gyourko et al., 2022).</w:t>
      </w:r>
    </w:p>
    <w:p w14:paraId="580FE5BD" w14:textId="77777777" w:rsidR="00D666FF" w:rsidRDefault="00D666FF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340F2279" w14:textId="18E659CE" w:rsidR="005756AD" w:rsidRPr="005756AD" w:rsidRDefault="005756AD" w:rsidP="005756AD">
      <w:pPr>
        <w:rPr>
          <w:b/>
          <w:bCs/>
        </w:rPr>
      </w:pPr>
      <w:r w:rsidRPr="005756AD">
        <w:rPr>
          <w:b/>
          <w:bCs/>
        </w:rPr>
        <w:lastRenderedPageBreak/>
        <w:t>References</w:t>
      </w:r>
    </w:p>
    <w:p w14:paraId="43AA4829" w14:textId="77777777" w:rsidR="005756AD" w:rsidRPr="005756AD" w:rsidRDefault="005756AD" w:rsidP="00D666FF">
      <w:pPr>
        <w:ind w:left="480" w:hangingChars="200" w:hanging="480"/>
      </w:pPr>
      <w:r w:rsidRPr="005756AD">
        <w:t xml:space="preserve">Bosley, M., et al. (2025). Improving probabilistic models in text classification via active learning. </w:t>
      </w:r>
      <w:r w:rsidRPr="005756AD">
        <w:rPr>
          <w:i/>
          <w:iCs/>
        </w:rPr>
        <w:t>American Political Science Review</w:t>
      </w:r>
      <w:r w:rsidRPr="005756AD">
        <w:t>.</w:t>
      </w:r>
    </w:p>
    <w:p w14:paraId="769F1C51" w14:textId="77777777" w:rsidR="005756AD" w:rsidRPr="005756AD" w:rsidRDefault="005756AD" w:rsidP="00D666FF">
      <w:pPr>
        <w:ind w:left="480" w:hangingChars="200" w:hanging="480"/>
      </w:pPr>
      <w:r w:rsidRPr="005756AD">
        <w:t>Fang, H., Li, M., &amp; Lu, G. (2025). Decoding China's industrial policies (NBER Working Paper No. 33814). National Bureau of Economic Research. https://doi.org/10.3386/w33814</w:t>
      </w:r>
    </w:p>
    <w:p w14:paraId="510E3DF2" w14:textId="77777777" w:rsidR="005756AD" w:rsidRPr="005756AD" w:rsidRDefault="005756AD" w:rsidP="00D666FF">
      <w:pPr>
        <w:ind w:left="480" w:hangingChars="200" w:hanging="480"/>
      </w:pPr>
      <w:r w:rsidRPr="005756AD">
        <w:t xml:space="preserve">Gyourko, J., Shen, Y., Wu, J., &amp; Zhang, R. (2022). Land finance in China: Analysis and review. </w:t>
      </w:r>
      <w:r w:rsidRPr="005756AD">
        <w:rPr>
          <w:i/>
          <w:iCs/>
        </w:rPr>
        <w:t>China Economic Review</w:t>
      </w:r>
      <w:r w:rsidRPr="005756AD">
        <w:t>.</w:t>
      </w:r>
    </w:p>
    <w:p w14:paraId="2A6B43C2" w14:textId="77777777" w:rsidR="005756AD" w:rsidRPr="005756AD" w:rsidRDefault="005756AD" w:rsidP="00D666FF">
      <w:pPr>
        <w:ind w:left="480" w:hangingChars="200" w:hanging="480"/>
      </w:pPr>
      <w:r w:rsidRPr="005756AD">
        <w:t xml:space="preserve">Heng, Y. (2008). Fiscal disparities and the equalization effects of fiscal transfers at the county level in China. </w:t>
      </w:r>
      <w:r w:rsidRPr="005756AD">
        <w:rPr>
          <w:i/>
          <w:iCs/>
        </w:rPr>
        <w:t>Annals of Economics and Finance</w:t>
      </w:r>
      <w:r w:rsidRPr="005756AD">
        <w:t>, 9(1), 115–149.</w:t>
      </w:r>
    </w:p>
    <w:p w14:paraId="701330F5" w14:textId="77777777" w:rsidR="005756AD" w:rsidRPr="005756AD" w:rsidRDefault="005756AD" w:rsidP="00D666FF">
      <w:pPr>
        <w:ind w:left="480" w:hangingChars="200" w:hanging="480"/>
      </w:pPr>
      <w:r w:rsidRPr="005756AD">
        <w:t xml:space="preserve">Meng, L. (2013). Evaluating China's poverty alleviation program: A regression discontinuity approach. </w:t>
      </w:r>
      <w:r w:rsidRPr="005756AD">
        <w:rPr>
          <w:i/>
          <w:iCs/>
        </w:rPr>
        <w:t>Journal of Public Economics</w:t>
      </w:r>
      <w:r w:rsidRPr="005756AD">
        <w:t>.</w:t>
      </w:r>
    </w:p>
    <w:p w14:paraId="5170C92D" w14:textId="74ED5C73" w:rsidR="00EF1898" w:rsidRPr="005756AD" w:rsidRDefault="005756AD" w:rsidP="00D666FF">
      <w:pPr>
        <w:ind w:left="480" w:hangingChars="200" w:hanging="480"/>
        <w:rPr>
          <w:rFonts w:hint="eastAsia"/>
        </w:rPr>
      </w:pPr>
      <w:r w:rsidRPr="005756AD">
        <w:t>Terechshenko, Z., &amp; Linder, F. (2022). A comparison of methods in political science text classification: Transfer learning language models for classifying political documents [Working paper]. https://csmapnyu.org</w:t>
      </w:r>
    </w:p>
    <w:sectPr w:rsidR="00EF1898" w:rsidRPr="005756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uwen Zhou" w:date="2026-09-01T17:39:00Z" w:initials="YZ">
    <w:p w14:paraId="478326BC" w14:textId="77777777" w:rsidR="00D666FF" w:rsidRDefault="00D666FF" w:rsidP="00D666FF">
      <w:pPr>
        <w:pStyle w:val="af1"/>
      </w:pPr>
      <w:r>
        <w:rPr>
          <w:rStyle w:val="af0"/>
        </w:rPr>
        <w:annotationRef/>
      </w:r>
      <w:r>
        <w:t>Which, by the way, I don’t know how...</w:t>
      </w:r>
    </w:p>
  </w:comment>
  <w:comment w:id="1" w:author="Yuwen Zhou" w:date="2026-09-01T17:40:00Z" w:initials="YZ">
    <w:p w14:paraId="309F012B" w14:textId="77777777" w:rsidR="00D666FF" w:rsidRDefault="00D666FF" w:rsidP="00D666FF">
      <w:pPr>
        <w:pStyle w:val="af1"/>
      </w:pPr>
      <w:r>
        <w:rPr>
          <w:rStyle w:val="af0"/>
        </w:rPr>
        <w:annotationRef/>
      </w:r>
      <w:r>
        <w:t>Which I have no idea how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78326BC" w15:done="0"/>
  <w15:commentEx w15:paraId="309F012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F280A0" w16cex:dateUtc="2026-09-01T09:39:00Z"/>
  <w16cex:commentExtensible w16cex:durableId="5E906D9E" w16cex:dateUtc="2026-09-01T0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78326BC" w16cid:durableId="1BF280A0"/>
  <w16cid:commentId w16cid:paraId="309F012B" w16cid:durableId="5E906D9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D5D71"/>
    <w:multiLevelType w:val="multilevel"/>
    <w:tmpl w:val="09F4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D40F1E"/>
    <w:multiLevelType w:val="multilevel"/>
    <w:tmpl w:val="5078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750013">
    <w:abstractNumId w:val="0"/>
  </w:num>
  <w:num w:numId="2" w16cid:durableId="104661037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uwen Zhou">
    <w15:presenceInfo w15:providerId="AD" w15:userId="S::yz1007@duke.edu::81dac2da-a5fe-4b3f-88db-d0eb097ca54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6B2"/>
    <w:rsid w:val="00211754"/>
    <w:rsid w:val="00340E02"/>
    <w:rsid w:val="00385B15"/>
    <w:rsid w:val="004A179C"/>
    <w:rsid w:val="005756AD"/>
    <w:rsid w:val="00727914"/>
    <w:rsid w:val="007F0745"/>
    <w:rsid w:val="00865F1A"/>
    <w:rsid w:val="00930C4D"/>
    <w:rsid w:val="00932891"/>
    <w:rsid w:val="00D666FF"/>
    <w:rsid w:val="00E106B2"/>
    <w:rsid w:val="00EF1898"/>
    <w:rsid w:val="00FB0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3B581"/>
  <w15:chartTrackingRefBased/>
  <w15:docId w15:val="{B778359B-B4DC-4197-A43D-30A1BB67C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66FF"/>
    <w:pPr>
      <w:keepNext/>
      <w:keepLines/>
      <w:spacing w:before="480" w:after="80"/>
      <w:outlineLvl w:val="0"/>
    </w:pPr>
    <w:rPr>
      <w:rFonts w:cstheme="majorBidi"/>
      <w:b/>
      <w:color w:val="0F4761" w:themeColor="accent1" w:themeShade="BF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0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06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06B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06B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06B2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06B2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06B2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06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66FF"/>
    <w:rPr>
      <w:rFonts w:cstheme="majorBidi"/>
      <w:b/>
      <w:color w:val="0F4761" w:themeColor="accent1" w:themeShade="BF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0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0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06B2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06B2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E106B2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06B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06B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06B2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06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0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06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06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0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06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06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06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0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06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06B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756A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756AD"/>
    <w:rPr>
      <w:color w:val="605E5C"/>
      <w:shd w:val="clear" w:color="auto" w:fill="E1DFDD"/>
    </w:rPr>
  </w:style>
  <w:style w:type="character" w:styleId="af0">
    <w:name w:val="annotation reference"/>
    <w:basedOn w:val="a0"/>
    <w:uiPriority w:val="99"/>
    <w:semiHidden/>
    <w:unhideWhenUsed/>
    <w:rsid w:val="00D666FF"/>
    <w:rPr>
      <w:sz w:val="21"/>
      <w:szCs w:val="21"/>
    </w:rPr>
  </w:style>
  <w:style w:type="paragraph" w:styleId="af1">
    <w:name w:val="annotation text"/>
    <w:basedOn w:val="a"/>
    <w:link w:val="af2"/>
    <w:uiPriority w:val="99"/>
    <w:unhideWhenUsed/>
    <w:rsid w:val="00D666FF"/>
  </w:style>
  <w:style w:type="character" w:customStyle="1" w:styleId="af2">
    <w:name w:val="批注文字 字符"/>
    <w:basedOn w:val="a0"/>
    <w:link w:val="af1"/>
    <w:uiPriority w:val="99"/>
    <w:rsid w:val="00D666FF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D666FF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D666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1103</Words>
  <Characters>6290</Characters>
  <Application>Microsoft Office Word</Application>
  <DocSecurity>0</DocSecurity>
  <Lines>52</Lines>
  <Paragraphs>14</Paragraphs>
  <ScaleCrop>false</ScaleCrop>
  <Company/>
  <LinksUpToDate>false</LinksUpToDate>
  <CharactersWithSpaces>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Yuwen Zhou</dc:creator>
  <cp:keywords/>
  <dc:description/>
  <cp:lastModifiedBy>Yuwen Zhou</cp:lastModifiedBy>
  <cp:revision>3</cp:revision>
  <dcterms:created xsi:type="dcterms:W3CDTF">2026-09-01T09:18:00Z</dcterms:created>
  <dcterms:modified xsi:type="dcterms:W3CDTF">2026-09-01T09:42:00Z</dcterms:modified>
</cp:coreProperties>
</file>