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ECD5" w14:textId="77777777" w:rsidR="004037E6" w:rsidRPr="004037E6" w:rsidRDefault="004037E6" w:rsidP="004037E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Developmental State Foundations</w:t>
      </w:r>
    </w:p>
    <w:p w14:paraId="193052B1" w14:textId="3E07C28C" w:rsidR="004037E6" w:rsidRPr="004037E6" w:rsidRDefault="004037E6" w:rsidP="004037E6">
      <w:r w:rsidRPr="004037E6">
        <w:t xml:space="preserve">Johnson, C. (1982). </w:t>
      </w:r>
      <w:r w:rsidRPr="004037E6">
        <w:rPr>
          <w:i/>
          <w:iCs/>
        </w:rPr>
        <w:t>MITI and the Japanese miracle: The growth of industrial policy, 1925–1975</w:t>
      </w:r>
      <w:r w:rsidRPr="004037E6">
        <w:t>. Stanford University Press.</w:t>
      </w:r>
    </w:p>
    <w:p w14:paraId="6DE10353" w14:textId="5C71A2E8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This is the </w:t>
      </w:r>
      <w:r>
        <w:rPr>
          <w:rFonts w:hint="eastAsia"/>
        </w:rPr>
        <w:t xml:space="preserve">foundational </w:t>
      </w:r>
      <w:r w:rsidRPr="004037E6">
        <w:t xml:space="preserve">book that put </w:t>
      </w:r>
      <w:r>
        <w:t>“</w:t>
      </w:r>
      <w:r w:rsidRPr="004037E6">
        <w:t>developmental state</w:t>
      </w:r>
      <w:r>
        <w:t>”</w:t>
      </w:r>
      <w:r w:rsidRPr="004037E6">
        <w:t xml:space="preserve"> into the political-science vocabulary, and it</w:t>
      </w:r>
      <w:r>
        <w:t>’</w:t>
      </w:r>
      <w:r w:rsidRPr="004037E6">
        <w:t xml:space="preserve">s worth citing precisely because </w:t>
      </w:r>
      <w:r>
        <w:rPr>
          <w:rFonts w:hint="eastAsia"/>
        </w:rPr>
        <w:t>our</w:t>
      </w:r>
      <w:r w:rsidRPr="004037E6">
        <w:t xml:space="preserve"> proposal argues against its implicit logic. Johnson treats Japan</w:t>
      </w:r>
      <w:r>
        <w:t>’</w:t>
      </w:r>
      <w:r w:rsidRPr="004037E6">
        <w:t xml:space="preserve">s MITI as a coherent, elite-driven planning bureau, which frames industrial policy as a matter of bureaucratic will rather than fiscal constraint — the exact preference-based account </w:t>
      </w:r>
      <w:r>
        <w:rPr>
          <w:rFonts w:hint="eastAsia"/>
        </w:rPr>
        <w:t>our</w:t>
      </w:r>
      <w:r w:rsidRPr="004037E6">
        <w:t xml:space="preserve"> fiscal-capacity story is trying to displace.</w:t>
      </w:r>
    </w:p>
    <w:p w14:paraId="6C497BBD" w14:textId="011B09BE" w:rsidR="004037E6" w:rsidRPr="004037E6" w:rsidRDefault="004037E6" w:rsidP="004037E6">
      <w:r w:rsidRPr="004037E6">
        <w:t xml:space="preserve">Evans, P. B. (1995). </w:t>
      </w:r>
      <w:r w:rsidRPr="004037E6">
        <w:rPr>
          <w:i/>
          <w:iCs/>
        </w:rPr>
        <w:t>Embedded autonomy: States and industrial transformation</w:t>
      </w:r>
      <w:r w:rsidRPr="004037E6">
        <w:t>. Princeton University Press.</w:t>
      </w:r>
    </w:p>
    <w:p w14:paraId="5A1CF3C6" w14:textId="77A913F0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Evans pushes the developmental-state idea further by asking what kind of state-society ties actually let bureaucracies implement industrial policy competently. His concept of </w:t>
      </w:r>
      <w:r>
        <w:t>“</w:t>
      </w:r>
      <w:r w:rsidRPr="004037E6">
        <w:t>embedded autonomy</w:t>
      </w:r>
      <w:r>
        <w:t>”</w:t>
      </w:r>
      <w:r w:rsidRPr="004037E6">
        <w:t xml:space="preserve"> is a useful precedent for treating administrative capacity as a variable that differs across bureaucracies rather than assuming all developmental states are equally capable.</w:t>
      </w:r>
    </w:p>
    <w:p w14:paraId="23C0E559" w14:textId="435792CF" w:rsidR="004037E6" w:rsidRPr="004037E6" w:rsidRDefault="004037E6" w:rsidP="004037E6">
      <w:r w:rsidRPr="004037E6">
        <w:t xml:space="preserve">Amsden, A. H. (1989). </w:t>
      </w:r>
      <w:r w:rsidRPr="004037E6">
        <w:rPr>
          <w:i/>
          <w:iCs/>
        </w:rPr>
        <w:t>Asia</w:t>
      </w:r>
      <w:r>
        <w:rPr>
          <w:i/>
          <w:iCs/>
        </w:rPr>
        <w:t>’</w:t>
      </w:r>
      <w:r w:rsidRPr="004037E6">
        <w:rPr>
          <w:i/>
          <w:iCs/>
        </w:rPr>
        <w:t>s next giant: South Korea and late industrialization</w:t>
      </w:r>
      <w:r w:rsidRPr="004037E6">
        <w:t>. Oxford University Press.</w:t>
      </w:r>
    </w:p>
    <w:p w14:paraId="3A2B48D2" w14:textId="0745FF3E" w:rsidR="004037E6" w:rsidRPr="004037E6" w:rsidRDefault="004037E6" w:rsidP="004037E6">
      <w:r w:rsidRPr="004037E6">
        <w:t>Amsden</w:t>
      </w:r>
      <w:r>
        <w:t>’</w:t>
      </w:r>
      <w:r w:rsidRPr="004037E6">
        <w:t xml:space="preserve">s account of Korean industrial policy centers on deliberate </w:t>
      </w:r>
      <w:r>
        <w:t>“</w:t>
      </w:r>
      <w:r w:rsidRPr="004037E6">
        <w:t>getting the price wrong</w:t>
      </w:r>
      <w:r>
        <w:t>”</w:t>
      </w:r>
      <w:r>
        <w:rPr>
          <w:rFonts w:hint="eastAsia"/>
        </w:rPr>
        <w:t xml:space="preserve">. It frames </w:t>
      </w:r>
      <w:r w:rsidRPr="004037E6">
        <w:t>subsidized credit and price distortion as tools of catch-up growth. It</w:t>
      </w:r>
      <w:r>
        <w:t>’</w:t>
      </w:r>
      <w:r w:rsidRPr="004037E6">
        <w:t xml:space="preserve">s a useful contrast case for </w:t>
      </w:r>
      <w:r>
        <w:rPr>
          <w:rFonts w:hint="eastAsia"/>
        </w:rPr>
        <w:t>our</w:t>
      </w:r>
      <w:r w:rsidRPr="004037E6">
        <w:t xml:space="preserve"> proposal because it frames instrument choice as strategic manipulation rather than a capacity constraint, which sharpens the theoretical stakes of </w:t>
      </w:r>
      <w:r>
        <w:rPr>
          <w:rFonts w:hint="eastAsia"/>
        </w:rPr>
        <w:t>our</w:t>
      </w:r>
      <w:r w:rsidRPr="004037E6">
        <w:t xml:space="preserve"> competing account.</w:t>
      </w:r>
      <w:r w:rsidRPr="004037E6">
        <w:t xml:space="preserve"> </w:t>
      </w:r>
    </w:p>
    <w:p w14:paraId="299570B0" w14:textId="3D3DB2C4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State Capacity Theory</w:t>
      </w:r>
    </w:p>
    <w:p w14:paraId="6510E5F4" w14:textId="4901DD00" w:rsidR="004037E6" w:rsidRPr="004037E6" w:rsidRDefault="004037E6" w:rsidP="004037E6">
      <w:r w:rsidRPr="004037E6">
        <w:t xml:space="preserve">Besley, T., &amp; Persson, T. (2009). The origins of state capacity: Property rights, taxation, and politics. </w:t>
      </w:r>
      <w:r w:rsidRPr="004037E6">
        <w:rPr>
          <w:i/>
          <w:iCs/>
        </w:rPr>
        <w:t>American Economic Review, 99</w:t>
      </w:r>
      <w:r w:rsidRPr="004037E6">
        <w:t>(4), 1218–1244. https://doi.org/10.1257/aer.99.4.1218</w:t>
      </w:r>
    </w:p>
    <w:p w14:paraId="5452AF8F" w14:textId="0EE24541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This paper is the theoretical backbone </w:t>
      </w:r>
      <w:r>
        <w:rPr>
          <w:rFonts w:hint="eastAsia"/>
        </w:rPr>
        <w:t>our</w:t>
      </w:r>
      <w:r w:rsidRPr="004037E6">
        <w:t xml:space="preserve"> entire fiscal-capacity argument implicitly rests on. Besley and Persson formalize fiscal and legal capacity as complementary state investments that jointly determine what policy menu a government can access, which gives </w:t>
      </w:r>
      <w:r>
        <w:rPr>
          <w:rFonts w:hint="eastAsia"/>
        </w:rPr>
        <w:t>our</w:t>
      </w:r>
      <w:r w:rsidRPr="004037E6">
        <w:t xml:space="preserve"> H1 (capacity shapes instrument composition, not just volume) a proper anchor in the state-capacity literature rather than leaving it as a China-specific </w:t>
      </w:r>
      <w:r w:rsidRPr="004037E6">
        <w:lastRenderedPageBreak/>
        <w:t>ad hoc claim.</w:t>
      </w:r>
    </w:p>
    <w:p w14:paraId="0325ECB3" w14:textId="482D31F1" w:rsidR="004037E6" w:rsidRPr="004037E6" w:rsidRDefault="004037E6" w:rsidP="004037E6">
      <w:r w:rsidRPr="004037E6">
        <w:t xml:space="preserve">Besley, T., &amp; Persson, T. (2011). </w:t>
      </w:r>
      <w:r w:rsidRPr="004037E6">
        <w:rPr>
          <w:i/>
          <w:iCs/>
        </w:rPr>
        <w:t>Pillars of prosperity: The political economics of development clusters</w:t>
      </w:r>
      <w:r w:rsidRPr="004037E6">
        <w:t>. Princeton University Press.</w:t>
      </w:r>
    </w:p>
    <w:p w14:paraId="60F64A25" w14:textId="6455A35A" w:rsidR="004037E6" w:rsidRPr="004037E6" w:rsidRDefault="004037E6" w:rsidP="004037E6">
      <w:r w:rsidRPr="004037E6">
        <w:t xml:space="preserve">The book-length treatment extends the 2009 paper into a broader framework distinguishing fiscal, legal, and collective capacity as </w:t>
      </w:r>
      <w:proofErr w:type="gramStart"/>
      <w:r w:rsidRPr="004037E6">
        <w:t>jointly-evolving</w:t>
      </w:r>
      <w:proofErr w:type="gramEnd"/>
      <w:r w:rsidRPr="004037E6">
        <w:t xml:space="preserve"> state investments. It</w:t>
      </w:r>
      <w:r>
        <w:t>’</w:t>
      </w:r>
      <w:r w:rsidRPr="004037E6">
        <w:t xml:space="preserve">s </w:t>
      </w:r>
      <w:r>
        <w:rPr>
          <w:rFonts w:hint="eastAsia"/>
        </w:rPr>
        <w:t>we definitely would like to look out for</w:t>
      </w:r>
      <w:r w:rsidRPr="004037E6">
        <w:t xml:space="preserve"> if </w:t>
      </w:r>
      <w:r>
        <w:rPr>
          <w:rFonts w:hint="eastAsia"/>
        </w:rPr>
        <w:t>we</w:t>
      </w:r>
      <w:r w:rsidRPr="004037E6">
        <w:t xml:space="preserve"> want to justify why </w:t>
      </w:r>
      <w:r>
        <w:t>“</w:t>
      </w:r>
      <w:r w:rsidRPr="004037E6">
        <w:t>capacity</w:t>
      </w:r>
      <w:r>
        <w:t>”</w:t>
      </w:r>
      <w:r w:rsidRPr="004037E6">
        <w:t xml:space="preserve"> should be modeled as a multidimensional bureaucratic capability rather than a single scalar like tax revenue.</w:t>
      </w:r>
    </w:p>
    <w:p w14:paraId="63875358" w14:textId="0E5BE32B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China</w:t>
      </w:r>
      <w:r w:rsidRPr="004037E6">
        <w:rPr>
          <w:b/>
          <w:bCs/>
          <w:sz w:val="28"/>
          <w:szCs w:val="28"/>
        </w:rPr>
        <w:t>’</w:t>
      </w:r>
      <w:r w:rsidRPr="004037E6">
        <w:rPr>
          <w:b/>
          <w:bCs/>
          <w:sz w:val="28"/>
          <w:szCs w:val="28"/>
        </w:rPr>
        <w:t>s Industrial Policy Instruments</w:t>
      </w:r>
    </w:p>
    <w:p w14:paraId="59954902" w14:textId="1DA09980" w:rsidR="004037E6" w:rsidRPr="004037E6" w:rsidRDefault="004037E6" w:rsidP="004037E6">
      <w:r w:rsidRPr="004037E6">
        <w:t xml:space="preserve">Fang, H., Li, M., &amp; Lu, G. (2025). </w:t>
      </w:r>
      <w:r w:rsidRPr="004037E6">
        <w:rPr>
          <w:i/>
          <w:iCs/>
        </w:rPr>
        <w:t>Decoding China</w:t>
      </w:r>
      <w:r>
        <w:rPr>
          <w:i/>
          <w:iCs/>
        </w:rPr>
        <w:t>’</w:t>
      </w:r>
      <w:r w:rsidRPr="004037E6">
        <w:rPr>
          <w:i/>
          <w:iCs/>
        </w:rPr>
        <w:t>s industrial policies</w:t>
      </w:r>
      <w:r w:rsidRPr="004037E6">
        <w:t xml:space="preserve"> (NBER Working Paper No. 33814). National Bureau of Economic Research. https://doi.org/10.3386/w33814</w:t>
      </w:r>
    </w:p>
    <w:p w14:paraId="4F1EBD19" w14:textId="4C6AE0D5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This is </w:t>
      </w:r>
      <w:r>
        <w:rPr>
          <w:rFonts w:hint="eastAsia"/>
        </w:rPr>
        <w:t>our</w:t>
      </w:r>
      <w:r w:rsidRPr="004037E6">
        <w:t xml:space="preserve"> empirical backbone. It</w:t>
      </w:r>
      <w:r>
        <w:t>’</w:t>
      </w:r>
      <w:r w:rsidRPr="004037E6">
        <w:t xml:space="preserve">s the first large-scale, LLM-based decoding of Chinese municipal industrial-policy documents, and it establishes the five-category instrument taxonomy (subsidy, tax break, land, equity, credit) that </w:t>
      </w:r>
      <w:r>
        <w:rPr>
          <w:rFonts w:hint="eastAsia"/>
        </w:rPr>
        <w:t>our planned</w:t>
      </w:r>
      <w:r w:rsidRPr="004037E6">
        <w:t xml:space="preserve"> classification scheme borrows directly. </w:t>
      </w:r>
      <w:r>
        <w:rPr>
          <w:rFonts w:hint="eastAsia"/>
        </w:rPr>
        <w:t>We might</w:t>
      </w:r>
      <w:r w:rsidRPr="004037E6">
        <w:t xml:space="preserve"> want to lean on this heavily both for the puzzle framing and for defending </w:t>
      </w:r>
      <w:r>
        <w:rPr>
          <w:rFonts w:hint="eastAsia"/>
        </w:rPr>
        <w:t>our</w:t>
      </w:r>
      <w:r w:rsidRPr="004037E6">
        <w:t xml:space="preserve"> Phase 2 labeling categories against reviewer skepticism.</w:t>
      </w:r>
      <w:r w:rsidRPr="004037E6">
        <w:t xml:space="preserve"> </w:t>
      </w:r>
    </w:p>
    <w:p w14:paraId="69494D15" w14:textId="00601F06" w:rsidR="004037E6" w:rsidRPr="004037E6" w:rsidRDefault="004037E6" w:rsidP="004037E6">
      <w:r w:rsidRPr="004037E6">
        <w:t xml:space="preserve">International Monetary Fund. (2025). </w:t>
      </w:r>
      <w:r w:rsidRPr="004037E6">
        <w:rPr>
          <w:i/>
          <w:iCs/>
        </w:rPr>
        <w:t>Industrial policy in China: Quantification and impact on misallocation</w:t>
      </w:r>
      <w:r w:rsidRPr="004037E6">
        <w:t xml:space="preserve"> (IMF Working Paper No. 2025/155). https://www.imf.org/en/publications/wp/issues/2025/08/07/industrial-policy-in-china-quantification-and-impact-on-misallocation-5</w:t>
      </w:r>
    </w:p>
    <w:p w14:paraId="3F36C7AB" w14:textId="3396BBF8" w:rsidR="004037E6" w:rsidRPr="004037E6" w:rsidRDefault="004037E6" w:rsidP="004037E6">
      <w:pPr>
        <w:rPr>
          <w:rFonts w:hint="eastAsia"/>
        </w:rPr>
      </w:pPr>
      <w:r w:rsidRPr="004037E6">
        <w:t>The IMF estimates the fiscal-equivalent cost of China</w:t>
      </w:r>
      <w:r>
        <w:t>’</w:t>
      </w:r>
      <w:r w:rsidRPr="004037E6">
        <w:t>s industrial policy at roughly 4 percent of GDP annually, using firm-level and land-registry data. This is a strong citation for motivating why instrument-mix variation matters materially and not just academically — it shows real resource allocation and misallocation consequences tied to which tools cities actually deploy.</w:t>
      </w:r>
    </w:p>
    <w:p w14:paraId="10142CE2" w14:textId="76052140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Fiscal Capacity and Land Finance</w:t>
      </w:r>
    </w:p>
    <w:p w14:paraId="710A936B" w14:textId="13A5DF52" w:rsidR="004037E6" w:rsidRPr="004037E6" w:rsidRDefault="004037E6" w:rsidP="004037E6">
      <w:proofErr w:type="spellStart"/>
      <w:r w:rsidRPr="004037E6">
        <w:t>Gyourko</w:t>
      </w:r>
      <w:proofErr w:type="spellEnd"/>
      <w:r w:rsidRPr="004037E6">
        <w:t xml:space="preserve">, J., Shen, Y., Wu, J., &amp; Zhang, R. (2022). Land finance in China: Analysis and review. </w:t>
      </w:r>
      <w:r w:rsidRPr="004037E6">
        <w:rPr>
          <w:i/>
          <w:iCs/>
        </w:rPr>
        <w:t>China Economic Review, 76</w:t>
      </w:r>
      <w:r w:rsidRPr="004037E6">
        <w:t>, 101868. https://doi.org/10.1016/j.chieco.2022.101868</w:t>
      </w:r>
    </w:p>
    <w:p w14:paraId="3DC66E5A" w14:textId="31C3EFFA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This is the standard reference for the </w:t>
      </w:r>
      <w:r>
        <w:t>“</w:t>
      </w:r>
      <w:r w:rsidRPr="004037E6">
        <w:t xml:space="preserve">fiscally constrained </w:t>
      </w:r>
      <w:proofErr w:type="gramStart"/>
      <w:r w:rsidRPr="004037E6">
        <w:t>bureaucracies</w:t>
      </w:r>
      <w:proofErr w:type="gramEnd"/>
      <w:r w:rsidRPr="004037E6">
        <w:t xml:space="preserve"> default to </w:t>
      </w:r>
      <w:r w:rsidRPr="004037E6">
        <w:lastRenderedPageBreak/>
        <w:t>land- and tax-based tools</w:t>
      </w:r>
      <w:r>
        <w:t>”</w:t>
      </w:r>
      <w:r w:rsidRPr="004037E6">
        <w:t xml:space="preserve"> half of </w:t>
      </w:r>
      <w:r>
        <w:rPr>
          <w:rFonts w:hint="eastAsia"/>
        </w:rPr>
        <w:t>our</w:t>
      </w:r>
      <w:r w:rsidRPr="004037E6">
        <w:t xml:space="preserve"> H2. The review synthesizes how dependent local budgets became on land-lease revenue after the 1994 tax-sharing reform, which is exactly the structural condition </w:t>
      </w:r>
      <w:r>
        <w:rPr>
          <w:rFonts w:hint="eastAsia"/>
        </w:rPr>
        <w:t>our</w:t>
      </w:r>
      <w:r w:rsidRPr="004037E6">
        <w:t xml:space="preserve"> fiscal-transfer threshold is designed to isolate variation around.</w:t>
      </w:r>
      <w:r w:rsidRPr="004037E6">
        <w:t xml:space="preserve"> </w:t>
      </w:r>
    </w:p>
    <w:p w14:paraId="00843D8E" w14:textId="5309B4F9" w:rsidR="004037E6" w:rsidRPr="004037E6" w:rsidRDefault="004037E6" w:rsidP="004037E6">
      <w:r w:rsidRPr="004037E6">
        <w:t>Li, Z. (2024). The political economy of China</w:t>
      </w:r>
      <w:r>
        <w:t>’</w:t>
      </w:r>
      <w:r w:rsidRPr="004037E6">
        <w:t xml:space="preserve">s local debt. </w:t>
      </w:r>
      <w:r w:rsidRPr="004037E6">
        <w:rPr>
          <w:i/>
          <w:iCs/>
        </w:rPr>
        <w:t>China Quarterly, 258</w:t>
      </w:r>
      <w:r w:rsidRPr="004037E6">
        <w:t>, 1–24. https://doi.org/10.1017/S0305741024000123</w:t>
      </w:r>
    </w:p>
    <w:p w14:paraId="6C3A0F4E" w14:textId="6F6BE5E3" w:rsidR="004037E6" w:rsidRPr="004037E6" w:rsidRDefault="004037E6" w:rsidP="004037E6">
      <w:r w:rsidRPr="004037E6">
        <w:t xml:space="preserve">Li complicates a simple decentralization narrative by showing how local government financing vehicles reshaped central-local fiscal relations over the 2010s. This is a useful caution against treating </w:t>
      </w:r>
      <w:r>
        <w:t>“</w:t>
      </w:r>
      <w:r w:rsidRPr="004037E6">
        <w:t>fiscal capacity</w:t>
      </w:r>
      <w:r>
        <w:t>”</w:t>
      </w:r>
      <w:r w:rsidRPr="004037E6">
        <w:t xml:space="preserve"> as a static, cleanly measured quantity —</w:t>
      </w:r>
      <w:r>
        <w:rPr>
          <w:rFonts w:hint="eastAsia"/>
        </w:rPr>
        <w:t xml:space="preserve"> our</w:t>
      </w:r>
      <w:r w:rsidRPr="004037E6">
        <w:t xml:space="preserve"> running variable construction should probably account for the LGFV distortions this paper documents.</w:t>
      </w:r>
      <w:r w:rsidRPr="004037E6">
        <w:t xml:space="preserve"> </w:t>
      </w:r>
    </w:p>
    <w:p w14:paraId="0A6A0F50" w14:textId="16025A66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Guidance Funds and Equity Instruments</w:t>
      </w:r>
    </w:p>
    <w:p w14:paraId="21DA2557" w14:textId="65E5B04D" w:rsidR="004037E6" w:rsidRPr="004037E6" w:rsidRDefault="004037E6" w:rsidP="004037E6">
      <w:r w:rsidRPr="004037E6">
        <w:t xml:space="preserve">Center for Security and Emerging Technology. (2021). </w:t>
      </w:r>
      <w:r w:rsidRPr="004037E6">
        <w:rPr>
          <w:i/>
          <w:iCs/>
        </w:rPr>
        <w:t>Understanding Chinese government guidance funds</w:t>
      </w:r>
      <w:r w:rsidRPr="004037E6">
        <w:t>. Georgetown University. https://cset.georgetown.edu/wp-content/uploads/CSET-Understanding-Chinese-Government-Guidance-Funds.pdf</w:t>
      </w:r>
    </w:p>
    <w:p w14:paraId="48D733B3" w14:textId="1D47916B" w:rsidR="004037E6" w:rsidRPr="004037E6" w:rsidRDefault="004037E6" w:rsidP="004037E6">
      <w:r w:rsidRPr="004037E6">
        <w:t>This think-tank brief is the best primer available on how guidance funds actually raise and deploy capital, built entirely from Chinese-language primary sources. It</w:t>
      </w:r>
      <w:r>
        <w:rPr>
          <w:rFonts w:hint="eastAsia"/>
        </w:rPr>
        <w:t xml:space="preserve"> backs our</w:t>
      </w:r>
      <w:r w:rsidRPr="004037E6">
        <w:t xml:space="preserve"> claim that equity/guidance-fund instruments require monitoring, exit, and valuation capacity that cash-strapped bureaucracies can</w:t>
      </w:r>
      <w:r>
        <w:t>’</w:t>
      </w:r>
      <w:r w:rsidRPr="004037E6">
        <w:t>t easily build — the institutional detail here does real argumentative work that the NBER paper doesn</w:t>
      </w:r>
      <w:r>
        <w:t>’</w:t>
      </w:r>
      <w:r w:rsidRPr="004037E6">
        <w:t>t cover.</w:t>
      </w:r>
      <w:r w:rsidRPr="004037E6">
        <w:t xml:space="preserve"> </w:t>
      </w:r>
    </w:p>
    <w:p w14:paraId="02E7439B" w14:textId="3856E438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Policy Instrument Typology</w:t>
      </w:r>
    </w:p>
    <w:p w14:paraId="7D194229" w14:textId="2A47EFAA" w:rsidR="004037E6" w:rsidRPr="004037E6" w:rsidRDefault="004037E6" w:rsidP="004037E6">
      <w:r w:rsidRPr="004037E6">
        <w:t xml:space="preserve">Salamon, L. M. (Ed.). (2002). </w:t>
      </w:r>
      <w:r w:rsidRPr="004037E6">
        <w:rPr>
          <w:i/>
          <w:iCs/>
        </w:rPr>
        <w:t>The tools of government: A guide to the new governance</w:t>
      </w:r>
      <w:r w:rsidRPr="004037E6">
        <w:t>. Oxford University Press.</w:t>
      </w:r>
    </w:p>
    <w:p w14:paraId="4D0C0938" w14:textId="1A5969C9" w:rsidR="004037E6" w:rsidRPr="004037E6" w:rsidRDefault="004037E6" w:rsidP="004037E6">
      <w:pPr>
        <w:pBdr>
          <w:bottom w:val="single" w:sz="6" w:space="1" w:color="auto"/>
        </w:pBdr>
      </w:pPr>
      <w:r w:rsidRPr="004037E6">
        <w:t>Salamon</w:t>
      </w:r>
      <w:r>
        <w:t>’</w:t>
      </w:r>
      <w:r w:rsidRPr="004037E6">
        <w:t>s edited volume is the canonical reference whenever a project classifies policy instruments into discrete categories. His framework for automaticity, visibility, and administrative complexity directly supports our claim that equity/credit tools are harder to administer than land or tax concessions — this is a citation our theory section is currently missing and should probably add.</w:t>
      </w:r>
    </w:p>
    <w:p w14:paraId="61CA9085" w14:textId="72414A90" w:rsidR="004037E6" w:rsidRPr="004037E6" w:rsidRDefault="004037E6" w:rsidP="004037E6">
      <w:r w:rsidRPr="004037E6">
        <w:t xml:space="preserve">Hood, C. (1983). </w:t>
      </w:r>
      <w:r w:rsidRPr="004037E6">
        <w:rPr>
          <w:i/>
          <w:iCs/>
        </w:rPr>
        <w:t>The tools of government</w:t>
      </w:r>
      <w:r w:rsidRPr="004037E6">
        <w:t>. Macmillan.</w:t>
      </w:r>
    </w:p>
    <w:p w14:paraId="33171CBA" w14:textId="309E03A7" w:rsidR="004037E6" w:rsidRPr="004037E6" w:rsidRDefault="004037E6" w:rsidP="004037E6">
      <w:r w:rsidRPr="004037E6">
        <w:t>Hood</w:t>
      </w:r>
      <w:r>
        <w:t>’</w:t>
      </w:r>
      <w:r w:rsidRPr="004037E6">
        <w:t>s earlier NATO framework (nodality, authority, treasure, organization) is the more parsimonious ancestor of Salamon</w:t>
      </w:r>
      <w:r>
        <w:t>’</w:t>
      </w:r>
      <w:r w:rsidRPr="004037E6">
        <w:t>s typology. It</w:t>
      </w:r>
      <w:r>
        <w:t>’</w:t>
      </w:r>
      <w:r w:rsidRPr="004037E6">
        <w:t xml:space="preserve">s a leaner alternative citation if </w:t>
      </w:r>
      <w:r>
        <w:rPr>
          <w:rFonts w:hint="eastAsia"/>
        </w:rPr>
        <w:t>we</w:t>
      </w:r>
      <w:r w:rsidRPr="004037E6">
        <w:t xml:space="preserve"> want to invoke the instrument-choice literature without pulling in Salamon</w:t>
      </w:r>
      <w:r>
        <w:t>’</w:t>
      </w:r>
      <w:r w:rsidRPr="004037E6">
        <w:t xml:space="preserve">s much </w:t>
      </w:r>
      <w:r w:rsidRPr="004037E6">
        <w:lastRenderedPageBreak/>
        <w:t>larger apparatus.</w:t>
      </w:r>
      <w:r w:rsidRPr="004037E6">
        <w:t xml:space="preserve"> </w:t>
      </w:r>
    </w:p>
    <w:p w14:paraId="18B5E051" w14:textId="7653D5BA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Methodology: RDD in Chinese Fiscal Contexts</w:t>
      </w:r>
    </w:p>
    <w:p w14:paraId="146B479D" w14:textId="55B1BAD3" w:rsidR="004037E6" w:rsidRPr="004037E6" w:rsidRDefault="004037E6" w:rsidP="004037E6">
      <w:r w:rsidRPr="004037E6">
        <w:t xml:space="preserve">Heng, Y. (2008). Fiscal disparities and the equalization effects of fiscal transfers at the county level in China. </w:t>
      </w:r>
      <w:r w:rsidRPr="004037E6">
        <w:rPr>
          <w:i/>
          <w:iCs/>
        </w:rPr>
        <w:t>Annals of Economics and Finance, 9</w:t>
      </w:r>
      <w:r w:rsidRPr="004037E6">
        <w:t>(1), 115–149.</w:t>
      </w:r>
    </w:p>
    <w:p w14:paraId="72A710BF" w14:textId="2A82FE12" w:rsidR="004037E6" w:rsidRPr="004037E6" w:rsidRDefault="004037E6" w:rsidP="004037E6">
      <w:pPr>
        <w:pBdr>
          <w:bottom w:val="single" w:sz="6" w:space="1" w:color="auto"/>
        </w:pBdr>
      </w:pPr>
      <w:r w:rsidRPr="004037E6">
        <w:t>This is our direct precedent for using a fiscal-transfer eligibility threshold as a running variable in a Chinese setting. It</w:t>
      </w:r>
      <w:r>
        <w:t>’</w:t>
      </w:r>
      <w:r w:rsidRPr="004037E6">
        <w:t>s an older paper in a lower-visibility journal, so it</w:t>
      </w:r>
      <w:r>
        <w:t>’</w:t>
      </w:r>
      <w:r w:rsidRPr="004037E6">
        <w:t>s worth pairing with a more recent robustness citation, but the eligibility-rule logic it documents is exactly what our Phase 3 threshold construction depends on.</w:t>
      </w:r>
    </w:p>
    <w:p w14:paraId="0E3A70DE" w14:textId="62D5B8D4" w:rsidR="004037E6" w:rsidRPr="004037E6" w:rsidRDefault="004037E6" w:rsidP="004037E6">
      <w:r w:rsidRPr="004037E6">
        <w:t>Meng, L. (2013). Evaluating China</w:t>
      </w:r>
      <w:r>
        <w:t>’</w:t>
      </w:r>
      <w:r w:rsidRPr="004037E6">
        <w:t xml:space="preserve">s poverty alleviation program: A regression discontinuity approach. </w:t>
      </w:r>
      <w:r w:rsidRPr="004037E6">
        <w:rPr>
          <w:i/>
          <w:iCs/>
        </w:rPr>
        <w:t>Journal of Public Economics, 101</w:t>
      </w:r>
      <w:r w:rsidRPr="004037E6">
        <w:t>, 1–11. https://doi.org/10.1016/j.jpubeco.2013.02.004</w:t>
      </w:r>
    </w:p>
    <w:p w14:paraId="7308A353" w14:textId="6948B6AF" w:rsidR="004037E6" w:rsidRPr="004037E6" w:rsidRDefault="004037E6" w:rsidP="004037E6">
      <w:r w:rsidRPr="004037E6">
        <w:t xml:space="preserve">This is the gold-standard RDD application in Chinese policy research and </w:t>
      </w:r>
      <w:r>
        <w:rPr>
          <w:rFonts w:hint="eastAsia"/>
        </w:rPr>
        <w:t>one we must do well to</w:t>
      </w:r>
      <w:r w:rsidRPr="004037E6">
        <w:t xml:space="preserve"> engage with directly, especially on manipulation concerns around </w:t>
      </w:r>
      <w:proofErr w:type="gramStart"/>
      <w:r w:rsidRPr="004037E6">
        <w:t>administratively-set</w:t>
      </w:r>
      <w:proofErr w:type="gramEnd"/>
      <w:r w:rsidRPr="004037E6">
        <w:t xml:space="preserve"> cutoffs. </w:t>
      </w:r>
      <w:r>
        <w:rPr>
          <w:rFonts w:hint="eastAsia"/>
        </w:rPr>
        <w:t>O</w:t>
      </w:r>
      <w:r w:rsidRPr="004037E6">
        <w:t>ur proposal already leans on this appropriately for the density-manipulation and donut-hole justification in Phase 4.</w:t>
      </w:r>
    </w:p>
    <w:p w14:paraId="2D6EAD93" w14:textId="4F9879CE" w:rsidR="004037E6" w:rsidRPr="004037E6" w:rsidRDefault="004037E6" w:rsidP="004037E6">
      <w:pPr>
        <w:pBdr>
          <w:top w:val="single" w:sz="6" w:space="1" w:color="auto"/>
          <w:bottom w:val="single" w:sz="6" w:space="1" w:color="auto"/>
        </w:pBdr>
        <w:rPr>
          <w:b/>
          <w:bCs/>
          <w:sz w:val="28"/>
          <w:szCs w:val="28"/>
        </w:rPr>
      </w:pPr>
      <w:r w:rsidRPr="004037E6">
        <w:rPr>
          <w:b/>
          <w:bCs/>
          <w:sz w:val="28"/>
          <w:szCs w:val="28"/>
        </w:rPr>
        <w:t>Methodology: Text Classification</w:t>
      </w:r>
    </w:p>
    <w:p w14:paraId="0A05B526" w14:textId="73E4D854" w:rsidR="004037E6" w:rsidRPr="004037E6" w:rsidRDefault="004037E6" w:rsidP="004037E6">
      <w:r w:rsidRPr="004037E6">
        <w:t xml:space="preserve">Terechshenko, Z., &amp; Linder, F. (2022). </w:t>
      </w:r>
      <w:r w:rsidRPr="004037E6">
        <w:rPr>
          <w:i/>
          <w:iCs/>
        </w:rPr>
        <w:t>A comparison of methods in political science text classification: Transfer learning language models for classifying political documents</w:t>
      </w:r>
      <w:r w:rsidRPr="004037E6">
        <w:t xml:space="preserve"> [Working paper]. https://csmapnyu.org</w:t>
      </w:r>
    </w:p>
    <w:p w14:paraId="180336FE" w14:textId="43264FE6" w:rsidR="004037E6" w:rsidRPr="004037E6" w:rsidRDefault="004037E6" w:rsidP="004037E6">
      <w:pPr>
        <w:pBdr>
          <w:bottom w:val="single" w:sz="6" w:space="1" w:color="auto"/>
        </w:pBdr>
      </w:pPr>
      <w:r w:rsidRPr="004037E6">
        <w:t xml:space="preserve">This is the </w:t>
      </w:r>
      <w:r>
        <w:rPr>
          <w:rFonts w:hint="eastAsia"/>
        </w:rPr>
        <w:t>source</w:t>
      </w:r>
      <w:r w:rsidRPr="004037E6">
        <w:t xml:space="preserve"> for justifying a transformer-based classifier over simpler bag-of-words approaches, particularly given the limited labeled data </w:t>
      </w:r>
      <w:r>
        <w:rPr>
          <w:rFonts w:hint="eastAsia"/>
        </w:rPr>
        <w:t>we</w:t>
      </w:r>
      <w:r>
        <w:t>’</w:t>
      </w:r>
      <w:r w:rsidRPr="004037E6">
        <w:t>ll have in Phase 2. Their finding that transfer-learning models outperform traditional supervised classifiers under data scarcity directly supports our methodological choice.</w:t>
      </w:r>
    </w:p>
    <w:p w14:paraId="4E616CFD" w14:textId="2238A720" w:rsidR="004037E6" w:rsidRPr="004037E6" w:rsidRDefault="004037E6" w:rsidP="004037E6">
      <w:r w:rsidRPr="004037E6">
        <w:t xml:space="preserve">Bosley, M., et al. (2025). Improving probabilistic models in text classification via active learning. </w:t>
      </w:r>
      <w:r w:rsidRPr="004037E6">
        <w:rPr>
          <w:i/>
          <w:iCs/>
        </w:rPr>
        <w:t>American Political Science Review</w:t>
      </w:r>
      <w:r w:rsidRPr="004037E6">
        <w:t>.</w:t>
      </w:r>
    </w:p>
    <w:p w14:paraId="0A9F0107" w14:textId="2CEAB4F9" w:rsidR="004037E6" w:rsidRPr="004037E6" w:rsidRDefault="004037E6" w:rsidP="004037E6">
      <w:r w:rsidRPr="004037E6">
        <w:t xml:space="preserve">This is a useful supplementary citation if labeling costs become a binding constraint during Phase 2 — active learning would let </w:t>
      </w:r>
      <w:r>
        <w:rPr>
          <w:rFonts w:hint="eastAsia"/>
        </w:rPr>
        <w:t>us</w:t>
      </w:r>
      <w:r w:rsidRPr="004037E6">
        <w:t xml:space="preserve"> prioritize which documents to hand-code rather than labeling a large random sample. It</w:t>
      </w:r>
      <w:r>
        <w:t>’</w:t>
      </w:r>
      <w:r w:rsidRPr="004037E6">
        <w:t>s less central than the Fang et al. taxonomy paper but strengthens the workplan</w:t>
      </w:r>
      <w:r>
        <w:t>’</w:t>
      </w:r>
      <w:r w:rsidRPr="004037E6">
        <w:t>s methodological rigor.</w:t>
      </w:r>
    </w:p>
    <w:p w14:paraId="3DCD93F0" w14:textId="77777777" w:rsidR="00EF1898" w:rsidRPr="004037E6" w:rsidRDefault="00EF1898"/>
    <w:sectPr w:rsidR="00EF1898" w:rsidRPr="00403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E6"/>
    <w:rsid w:val="001C24F7"/>
    <w:rsid w:val="00211754"/>
    <w:rsid w:val="00340E02"/>
    <w:rsid w:val="00385B15"/>
    <w:rsid w:val="004037E6"/>
    <w:rsid w:val="007F0745"/>
    <w:rsid w:val="00865F1A"/>
    <w:rsid w:val="00930C4D"/>
    <w:rsid w:val="00932891"/>
    <w:rsid w:val="00EF1898"/>
    <w:rsid w:val="00FB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43A3"/>
  <w15:chartTrackingRefBased/>
  <w15:docId w15:val="{EFA0CE03-8549-4777-B242-9BFE55AE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3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7E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7E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7E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7E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7E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7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3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7E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37E6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037E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37E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37E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37E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3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3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3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3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3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3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37E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37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3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Yuwen Zhou</dc:creator>
  <cp:keywords/>
  <dc:description/>
  <cp:lastModifiedBy>Yuwen Zhou</cp:lastModifiedBy>
  <cp:revision>1</cp:revision>
  <dcterms:created xsi:type="dcterms:W3CDTF">2026-09-06T12:21:00Z</dcterms:created>
  <dcterms:modified xsi:type="dcterms:W3CDTF">2026-09-06T12:35:00Z</dcterms:modified>
</cp:coreProperties>
</file>