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29BD36" w14:textId="77777777" w:rsidR="000A3484" w:rsidRPr="000A3484" w:rsidRDefault="000A3484" w:rsidP="000A3484">
      <w:pPr>
        <w:pStyle w:val="1"/>
        <w:rPr>
          <w:sz w:val="32"/>
          <w:szCs w:val="32"/>
        </w:rPr>
      </w:pPr>
      <w:r>
        <w:rPr>
          <w:sz w:val="32"/>
          <w:szCs w:val="32"/>
        </w:rPr>
        <w:t>Theory and Literature Review</w:t>
      </w:r>
    </w:p>
    <w:p w14:paraId="204C71B3" w14:textId="77777777" w:rsidR="000A3484" w:rsidRPr="000A3484" w:rsidRDefault="000A3484" w:rsidP="000A3484">
      <w:pPr>
        <w:pStyle w:val="2"/>
        <w:jc w:val="both"/>
        <w:rPr>
          <w:b/>
          <w:bCs/>
        </w:rPr>
      </w:pPr>
      <w:r>
        <w:t>AI companions as social partners</w:t>
      </w:r>
    </w:p>
    <w:p w14:paraId="2FB29288" w14:textId="77777777" w:rsidR="000A3484" w:rsidRPr="000A3484" w:rsidRDefault="000A3484" w:rsidP="000A3484">
      <w:pPr>
        <w:ind w:firstLine="420"/>
        <w:jc w:val="both"/>
      </w:pPr>
      <w:r>
        <w:t>AI companions occupy an unusual position between tools and social partners. They are software, but they communicate through ordinary language, respond immediately, remember selected details, and often use warmth, affirmation, or romantic language. These features do not make an AI human, but they can make interacting with one feel socially meaningful. The interesting question, then, is why people can knowingly interact with software while still describing the interaction through familiar ideas such as friendship, love, comfort, and loss.</w:t>
      </w:r>
    </w:p>
    <w:p w14:paraId="70AC2F37" w14:textId="395782A6" w:rsidR="000A3484" w:rsidRPr="000A3484" w:rsidRDefault="000A3484" w:rsidP="000A3484">
      <w:pPr>
        <w:ind w:firstLine="420"/>
        <w:jc w:val="both"/>
      </w:pPr>
      <w:r>
        <w:t xml:space="preserve">Research on </w:t>
      </w:r>
      <w:r>
        <w:rPr>
          <w:b/>
        </w:rPr>
        <w:t>anthropomorphism</w:t>
      </w:r>
      <w:r>
        <w:t xml:space="preserve"> provides one answer. Anthropomorphism means interpreting a nonhuman object through human qualities, such as intention, emotion, or personality. Epley et al. (2007) argue that people are especially likely to anthropomorphize when an object offers humanlike cues, when its behavior is difficult to explain without social language, or when people are motivated to seek connection. Conversational AI supplies many such cues: it speaks in the first person, reacts to a user’s feelings, and can appear to maintain a continuing personality. As a result, users may respond to it socially even while understanding that its replies are generated by a machine (Epley et al., 2007).</w:t>
      </w:r>
    </w:p>
    <w:p w14:paraId="189C3995" w14:textId="77777777" w:rsidR="000A3484" w:rsidRPr="000A3484" w:rsidRDefault="000A3484" w:rsidP="000A3484">
      <w:pPr>
        <w:ind w:firstLine="420"/>
        <w:jc w:val="both"/>
      </w:pPr>
      <w:r>
        <w:t xml:space="preserve">This response also fits the older idea of </w:t>
      </w:r>
      <w:r>
        <w:rPr>
          <w:b/>
        </w:rPr>
        <w:t>parasocial interaction</w:t>
      </w:r>
      <w:r>
        <w:t>, which describes a feeling of intimacy with a media figure who is not part of an ordinary reciprocal relationship (Horton &amp; Wohl, 1956). AI companions differ from traditional media figures because they respond directly to individual users. Even so, the comparison is useful. A relationship can feel personally important even when reciprocity is limited or unequal. In an AI relationship, the user can disclose private feelings and receive personalized replies, but the AI does not have human needs, vulnerability, or responsibility. The interaction may therefore feel mutual from the user’s perspective while remaining structurally one-sided.</w:t>
      </w:r>
    </w:p>
    <w:p w14:paraId="3C59D27C" w14:textId="77777777" w:rsidR="000A3484" w:rsidRPr="000A3484" w:rsidRDefault="000A3484" w:rsidP="000A3484">
      <w:pPr>
        <w:ind w:firstLine="420"/>
        <w:jc w:val="both"/>
      </w:pPr>
      <w:r>
        <w:t>These theories justify treating emotional relationships with AI as a serious topic of social research. They do not require the claim that an AI genuinely loves, understands, or cares for its user. Instead, they direct attention to how people interpret the interaction. If an AI is experienced as attentive, available, and emotionally responsive, users may use the language of human relationships to make sense of it. This study examines that meaning-making process through users’ public language.</w:t>
      </w:r>
    </w:p>
    <w:p w14:paraId="5CECB237" w14:textId="77777777" w:rsidR="000A3484" w:rsidRPr="000A3484" w:rsidRDefault="000A3484" w:rsidP="000A3484">
      <w:pPr>
        <w:pStyle w:val="2"/>
        <w:jc w:val="both"/>
        <w:rPr>
          <w:b/>
          <w:bCs/>
        </w:rPr>
      </w:pPr>
      <w:r>
        <w:t>Attachment and social support</w:t>
      </w:r>
    </w:p>
    <w:p w14:paraId="7F7DD9A5" w14:textId="77777777" w:rsidR="000A3484" w:rsidRPr="000A3484" w:rsidRDefault="000A3484" w:rsidP="000A3484">
      <w:pPr>
        <w:ind w:firstLine="420"/>
        <w:jc w:val="both"/>
      </w:pPr>
      <w:r>
        <w:t xml:space="preserve">Anthropomorphism explains why an AI may be perceived in social terms, but </w:t>
      </w:r>
      <w:r>
        <w:rPr>
          <w:b/>
        </w:rPr>
        <w:t>attachment theory</w:t>
      </w:r>
      <w:r>
        <w:t xml:space="preserve"> helps explain why the interaction may become emotionally important. Attachment refers to a bond through which a person seeks comfort, security, and a dependable source of support. Traditional attachment theory was developed to explain human relationships, so it should not be transferred to AI without caution. Even so, an AI companion can perform some attachment-like functions: it can be available during distress, provide reassuring responses, and become part of a user’s emotional routine.</w:t>
      </w:r>
    </w:p>
    <w:p w14:paraId="1A137DD7" w14:textId="6D3BE48E" w:rsidR="000A3484" w:rsidRPr="000A3484" w:rsidRDefault="000A3484" w:rsidP="000A3484">
      <w:pPr>
        <w:ind w:firstLine="420"/>
        <w:jc w:val="both"/>
      </w:pPr>
      <w:r>
        <w:t>In interviews with Replika users, Xie and Pentina (2022) found that users could develop attachment-like bonds when the chatbot offered encouragement, emotional support, and psychological security. These bonds mattered most when users were distressed or lacked satisfying human companionship. The same study also identified possible costs, including excessive reliance and strain on offline relationships. Attachment to AI should therefore not be assumed to be either wholly beneficial or wholly harmful; the same relationship may provide comfort and create concern (Xie &amp; Pentina, 2022).</w:t>
      </w:r>
    </w:p>
    <w:p w14:paraId="78CF4DFC" w14:textId="2DBC1C04" w:rsidR="000A3484" w:rsidRPr="000A3484" w:rsidRDefault="000A3484" w:rsidP="000A3484">
      <w:pPr>
        <w:ind w:firstLine="420"/>
        <w:jc w:val="both"/>
      </w:pPr>
      <w:r>
        <w:t>Repeated disclosure and perceived responsiveness also matter. Skjuve et al. (2021) found that relationships with a companion chatbot may develop over time as users disclose personal information, test the chatbot’s reactions, and come to experience it as accepting and dependable. Brandtzaeg et al. (2022) similarly show that users may understand human–AI friendship through many of the same ideas used to describe human friendship, including support, trust, and companionship. At the same time, users recognize important differences: the chatbot is highly personalized, continuously available, and organized around the user’s needs rather than around equal exchange between two human beings (Brandtzaeg et al., 2022; Skjuve et al., 2021).</w:t>
      </w:r>
    </w:p>
    <w:p w14:paraId="43EFB52E" w14:textId="248B85D2" w:rsidR="000A3484" w:rsidRPr="000A3484" w:rsidRDefault="000A3484" w:rsidP="000A3484">
      <w:pPr>
        <w:ind w:firstLine="420"/>
        <w:jc w:val="both"/>
      </w:pPr>
      <w:r>
        <w:t>An analysis of Replika reviews and open-ended user responses identified companionship, emotional support, appraisal, and information as recurring forms of perceived support. Users often described the chatbot as a safe place to talk without fear of judgment or retaliation (Ta et al., 2020). More recent experimental work finds that interacting with an AI companion can reduce loneliness in the short term, particularly when the user feels heard. That evidence covers immediate changes after interaction, not long-term well-being, and it does not show that AI companionship can replace human relationships (De Freitas et al., 2025).</w:t>
      </w:r>
    </w:p>
    <w:p w14:paraId="5E0690A2" w14:textId="77777777" w:rsidR="000A3484" w:rsidRPr="000A3484" w:rsidRDefault="000A3484" w:rsidP="000A3484">
      <w:pPr>
        <w:ind w:firstLine="420"/>
        <w:jc w:val="both"/>
      </w:pPr>
      <w:r>
        <w:t xml:space="preserve">This literature provides the psychological basis for two of the study’s frames. Users may describe </w:t>
      </w:r>
      <w:r>
        <w:rPr>
          <w:b/>
        </w:rPr>
        <w:t>genuine attachment</w:t>
      </w:r>
      <w:r>
        <w:t xml:space="preserve"> when an AI is treated as emotionally significant, trusted, loved, or missed. They may describe </w:t>
      </w:r>
      <w:r>
        <w:rPr>
          <w:b/>
        </w:rPr>
        <w:t>emotional substitution</w:t>
      </w:r>
      <w:r>
        <w:t xml:space="preserve"> when the AI fills a position usually occupied by another person, such as friend, romantic partner, listener, or source of comfort. The two ideas overlap without being identical. A user can rely on an AI as a convenient substitute without expressing deep affection; another can feel strongly attached while continuing to maintain human relationships.</w:t>
      </w:r>
    </w:p>
    <w:p w14:paraId="3CE77869" w14:textId="77777777" w:rsidR="000A3484" w:rsidRPr="000A3484" w:rsidRDefault="000A3484" w:rsidP="000A3484">
      <w:pPr>
        <w:pStyle w:val="2"/>
        <w:jc w:val="both"/>
        <w:rPr>
          <w:b/>
          <w:bCs/>
        </w:rPr>
      </w:pPr>
      <w:r>
        <w:t>Framing rather than diagnosis</w:t>
      </w:r>
    </w:p>
    <w:p w14:paraId="17031AA8" w14:textId="77777777" w:rsidR="000A3484" w:rsidRPr="000A3484" w:rsidRDefault="000A3484" w:rsidP="000A3484">
      <w:pPr>
        <w:ind w:firstLine="420"/>
        <w:jc w:val="both"/>
      </w:pPr>
      <w:r>
        <w:t xml:space="preserve">Although psychology helps explain why emotional bonds with AI are possible, social-media texts cannot directly reveal a user’s internal psychological state. A post saying “I cannot live without my AI boyfriend” might express serious distress, but it might also be humorous exaggeration, role-play, or a quotation. Even a sincere statement captures what the user chose to say in a particular public setting, not a complete measurement of that person’s mental condition. The study therefore asks how users </w:t>
      </w:r>
      <w:r>
        <w:rPr>
          <w:b/>
          <w:bCs/>
        </w:rPr>
        <w:t>frame</w:t>
      </w:r>
      <w:r>
        <w:t xml:space="preserve"> AI relationships rather than whether their feelings are objectively genuine.</w:t>
      </w:r>
    </w:p>
    <w:p w14:paraId="6D224F95" w14:textId="17997DE4" w:rsidR="000A3484" w:rsidRPr="000A3484" w:rsidRDefault="000A3484" w:rsidP="000A3484">
      <w:pPr>
        <w:ind w:firstLine="420"/>
        <w:jc w:val="both"/>
      </w:pPr>
      <w:r>
        <w:t>Framing refers to the selection and emphasis of certain aspects of an issue so that a particular interpretation becomes more noticeable (Entman, 1993). A frame is the answer a text gives to the question, “What kind of situation is this?” The same AI interaction could be presented as a love story, a practical substitute for unavailable companionship, a game, or a warning about dependence. Each frame makes some features of the relationship important while leaving other features in the background (Entman, 1993).</w:t>
      </w:r>
    </w:p>
    <w:p w14:paraId="5853FBF1" w14:textId="77777777" w:rsidR="000A3484" w:rsidRPr="000A3484" w:rsidRDefault="000A3484" w:rsidP="000A3484">
      <w:pPr>
        <w:ind w:firstLine="420"/>
        <w:jc w:val="both"/>
      </w:pPr>
      <w:r>
        <w:t>Framing is also easier to defend. The study does not need to determine whether AI affection is real, whether users are mentally healthy, or whether their relationships satisfy a philosophical definition of love. It measures publicly expressed interpretations instead. Those interpretations still matter because language is one way people organize unfamiliar experiences, communicate them to others, and negotiate what society considers normal, embarrassing, helpful, or dangerous.</w:t>
      </w:r>
    </w:p>
    <w:p w14:paraId="28F52D49" w14:textId="767F5AEF" w:rsidR="000A3484" w:rsidRPr="000A3484" w:rsidRDefault="000A3484" w:rsidP="000A3484">
      <w:pPr>
        <w:ind w:firstLine="420"/>
        <w:jc w:val="both"/>
      </w:pPr>
      <w:r>
        <w:t xml:space="preserve">The focus on framing also addresses a gap between psychological and public-discourse research. Much existing research relies on interviews, surveys, experiments, or reviews written by users of a particular application. These methods are valuable for studying individual experiences, but they do not fully show how AI companionship is discussed before wider online audiences. Research using posts from online communities demonstrates that users actively construct and negotiate the meaning of human–AI romance rather than simply reporting a fixed type of relationship (Pan &amp; </w:t>
      </w:r>
      <w:r>
        <w:lastRenderedPageBreak/>
        <w:t>Mou, 2024). Examining Chinese social-media language can therefore reveal how attachment, substitution, play, and risk are made understandable within a specific online context.</w:t>
      </w:r>
    </w:p>
    <w:p w14:paraId="60D7101A" w14:textId="77777777" w:rsidR="000A3484" w:rsidRPr="000A3484" w:rsidRDefault="000A3484" w:rsidP="000A3484">
      <w:pPr>
        <w:pStyle w:val="2"/>
        <w:jc w:val="both"/>
        <w:rPr>
          <w:b/>
          <w:bCs/>
        </w:rPr>
      </w:pPr>
      <w:r>
        <w:t>Four relational frames</w:t>
      </w:r>
    </w:p>
    <w:p w14:paraId="35919355" w14:textId="77777777" w:rsidR="000A3484" w:rsidRPr="000A3484" w:rsidRDefault="000A3484" w:rsidP="000A3484">
      <w:pPr>
        <w:ind w:firstLine="420"/>
        <w:jc w:val="both"/>
      </w:pPr>
      <w:r>
        <w:t xml:space="preserve">The first dimension, </w:t>
      </w:r>
      <w:r>
        <w:rPr>
          <w:b/>
          <w:bCs/>
        </w:rPr>
        <w:t>genuine attachment</w:t>
      </w:r>
      <w:r>
        <w:t>, captures texts that present the AI as a meaningful emotional partner. Indicators may include love, trust, intimacy, missing the AI, feeling understood, seeking comfort, or describing the AI as an important part of everyday life. “Genuine” in this label refers to how the text presents the feeling; it does not mean that the research has independently verified the user’s private emotions. This distinction prevents the study from turning linguistic evidence into an unsupported psychological diagnosis.</w:t>
      </w:r>
    </w:p>
    <w:p w14:paraId="2CCDEE36" w14:textId="77777777" w:rsidR="000A3484" w:rsidRPr="000A3484" w:rsidRDefault="000A3484" w:rsidP="000A3484">
      <w:pPr>
        <w:ind w:firstLine="420"/>
        <w:jc w:val="both"/>
      </w:pPr>
      <w:r>
        <w:t xml:space="preserve">The second dimension, </w:t>
      </w:r>
      <w:r>
        <w:rPr>
          <w:b/>
          <w:bCs/>
        </w:rPr>
        <w:t>emotional substitution</w:t>
      </w:r>
      <w:r>
        <w:t>, captures texts in which an AI performs a role normally associated with human companionship. Examples include calling the AI a boyfriend or girlfriend, using it as a listener when no one else is available, or presenting it as easier than dealing with human relationships. Substitution can be temporary, partial, or deliberate. It should not automatically be interpreted as social isolation. A user may employ an AI to supplement existing relationships, to practice communication, or to obtain support at a time when another person is unavailable. What matters for coding is whether the text presents the AI as filling a recognizable relational function.</w:t>
      </w:r>
    </w:p>
    <w:p w14:paraId="73384849" w14:textId="77777777" w:rsidR="000A3484" w:rsidRPr="000A3484" w:rsidRDefault="000A3484" w:rsidP="000A3484">
      <w:pPr>
        <w:ind w:firstLine="420"/>
        <w:jc w:val="both"/>
      </w:pPr>
      <w:r>
        <w:t xml:space="preserve">The third dimension, </w:t>
      </w:r>
      <w:r>
        <w:rPr>
          <w:b/>
          <w:bCs/>
        </w:rPr>
        <w:t>playful performance</w:t>
      </w:r>
      <w:r>
        <w:t>, captures humor, fantasy, role-play, experimentation, and ironic displays of intimacy. AI companion applications frequently invite imaginative interaction: users may create characters, test unusual scenarios, perform fictional romances, or joke about dating a machine. Yet play should not be treated as evidence that the emotional content is false. Humor can make a socially unusual attachment easier to discuss, and role-play can produce meaningful feelings even when participants know that the setting is fictional. A post may therefore be playful and emotionally serious at the same time.</w:t>
      </w:r>
    </w:p>
    <w:p w14:paraId="5139FAF9" w14:textId="0ED06B21" w:rsidR="000A3484" w:rsidRPr="000A3484" w:rsidRDefault="000A3484" w:rsidP="000A3484">
      <w:pPr>
        <w:ind w:firstLine="420"/>
        <w:jc w:val="both"/>
      </w:pPr>
      <w:r>
        <w:t xml:space="preserve">The fourth dimension, </w:t>
      </w:r>
      <w:r>
        <w:rPr>
          <w:b/>
        </w:rPr>
        <w:t>dangerous dependence</w:t>
      </w:r>
      <w:r>
        <w:t xml:space="preserve">, captures language that presents AI use as excessive, difficult to control, isolating, or harmful. Examples include being unable to stop, neglecting offline life, becoming distressed when the AI changes, or worrying that the relationship is replacing human contact. For precision, call this dimension </w:t>
      </w:r>
      <w:r>
        <w:rPr>
          <w:b/>
        </w:rPr>
        <w:t>dependence-risk framing</w:t>
      </w:r>
      <w:r>
        <w:t>. The label records whether a text describes reliance as dangerous; it does not diagnose addiction. Existing studies report both perceived support and concerns about excessive reliance, so risk is a relevant dimension even though not every frequent user is harmed (Xie &amp; Pentina, 2022).</w:t>
      </w:r>
    </w:p>
    <w:p w14:paraId="385E165F" w14:textId="77777777" w:rsidR="000A3484" w:rsidRPr="000A3484" w:rsidRDefault="000A3484" w:rsidP="000A3484">
      <w:pPr>
        <w:ind w:firstLine="420"/>
        <w:jc w:val="both"/>
      </w:pPr>
      <w:r>
        <w:t>The four dimensions give different answers to the same basic question: what does the AI relationship mean? Attachment emphasizes emotional significance; substitution emphasizes the social function the AI performs; performance emphasizes play and public presentation; and dependence emphasizes loss of control or possible harm. The categories are analytically distinct without being mutually exclusive.</w:t>
      </w:r>
    </w:p>
    <w:p w14:paraId="0C8D1447" w14:textId="77777777" w:rsidR="000A3484" w:rsidRPr="000A3484" w:rsidRDefault="000A3484" w:rsidP="000A3484">
      <w:pPr>
        <w:pStyle w:val="2"/>
        <w:jc w:val="both"/>
        <w:rPr>
          <w:b/>
          <w:bCs/>
        </w:rPr>
      </w:pPr>
      <w:r>
        <w:t>Ambivalence and overlap</w:t>
      </w:r>
    </w:p>
    <w:p w14:paraId="1B4FB280" w14:textId="6CAA7E78" w:rsidR="000A3484" w:rsidRPr="000A3484" w:rsidRDefault="000A3484" w:rsidP="000A3484">
      <w:pPr>
        <w:ind w:firstLine="420"/>
        <w:jc w:val="both"/>
      </w:pPr>
      <w:r>
        <w:t>Multiple labels are built into the theory, not just a coding convenience. Human relationships are often ambivalent: the same relationship can be comforting and stressful, sincere and playful, or valuable and risky. There is little reason to expect relationships with AI to fit more neatly into a single box. Research on human–AI romance shows that users negotiate both humanlike intimacy and awareness of the chatbot’s artificial character (Brandtzaeg et al., 2022; Pan &amp; Mou, 2024). Research on Chinese social-media discussions likewise finds that positive themes of emotional gratification and virtual romance coexist with negative discussions of privacy, boundaries, platform restrictions, and risk.</w:t>
      </w:r>
    </w:p>
    <w:p w14:paraId="5B7F8FA5" w14:textId="77777777" w:rsidR="000A3484" w:rsidRPr="000A3484" w:rsidRDefault="000A3484" w:rsidP="000A3484">
      <w:pPr>
        <w:ind w:firstLine="420"/>
        <w:jc w:val="both"/>
      </w:pPr>
      <w:r>
        <w:t>The overlap between attachment and dependence-risk framing deserves the most attention. If users describe an AI as a reliable source of comfort, the relationship may become more emotionally important; greater importance may then make interruptions, changes, or overuse more troubling. Attachment and concern are therefore not opposites. A post can put it plainly: “this relationship helps me, but I worry that I need it too much.” Detecting such combinations would improve on accounts that classify AI companionship as simply beneficial or harmful.</w:t>
      </w:r>
    </w:p>
    <w:p w14:paraId="47B6A128" w14:textId="77777777" w:rsidR="000A3484" w:rsidRPr="000A3484" w:rsidRDefault="000A3484" w:rsidP="000A3484">
      <w:pPr>
        <w:ind w:firstLine="420"/>
        <w:jc w:val="both"/>
      </w:pPr>
      <w:r>
        <w:t>Playfulness may also overlap with attachment. Users can express sincere intimacy through memes, exaggerated language, or fictional scenarios, particularly when direct seriousness might invite ridicule. Consequently, a playful code should not cancel an attachment code. A multi-label design preserves this possibility and permits analysis of which frames commonly appear together.</w:t>
      </w:r>
    </w:p>
    <w:p w14:paraId="44514ACE" w14:textId="77777777" w:rsidR="000A3484" w:rsidRPr="000A3484" w:rsidRDefault="000A3484" w:rsidP="000A3484">
      <w:pPr>
        <w:ind w:firstLine="420"/>
        <w:jc w:val="both"/>
      </w:pPr>
      <w:r>
        <w:t>The expectation follows:</w:t>
      </w:r>
    </w:p>
    <w:p w14:paraId="7DAFA16A" w14:textId="77777777" w:rsidR="000A3484" w:rsidRPr="000A3484" w:rsidRDefault="000A3484" w:rsidP="000A3484">
      <w:pPr>
        <w:ind w:left="840"/>
        <w:jc w:val="both"/>
      </w:pPr>
      <w:r>
        <w:rPr>
          <w:b/>
          <w:bCs/>
          <w:i/>
          <w:iCs/>
        </w:rPr>
        <w:t>H1: Frame coexistence.</w:t>
      </w:r>
      <w:r>
        <w:t xml:space="preserve"> A meaningful proportion of texts will contain more than one relational frame. In particular, genuine-attachment framing will sometimes co-occur with dependence-risk framing, while attachment may also co-occur with playful performance.</w:t>
      </w:r>
    </w:p>
    <w:p w14:paraId="55D064E1" w14:textId="77777777" w:rsidR="000A3484" w:rsidRPr="000A3484" w:rsidRDefault="000A3484" w:rsidP="000A3484">
      <w:pPr>
        <w:ind w:firstLine="420"/>
        <w:jc w:val="both"/>
      </w:pPr>
      <w:r>
        <w:t>The hypothesis is deliberately modest. The design can show that frames coexist in texts, but it cannot establish that one psychological condition causes another. Nor should it predict the exact most-common pairing unless the pilot sample provides a clear basis for doing so.</w:t>
      </w:r>
    </w:p>
    <w:p w14:paraId="36BAF1DE" w14:textId="77777777" w:rsidR="000A3484" w:rsidRPr="000A3484" w:rsidRDefault="000A3484" w:rsidP="000A3484">
      <w:pPr>
        <w:pStyle w:val="2"/>
        <w:jc w:val="both"/>
        <w:rPr>
          <w:b/>
          <w:bCs/>
        </w:rPr>
      </w:pPr>
      <w:r>
        <w:t>Platforms and public expression</w:t>
      </w:r>
    </w:p>
    <w:p w14:paraId="3CDD9B3B" w14:textId="5705B310" w:rsidR="000A3484" w:rsidRPr="000A3484" w:rsidRDefault="000A3484" w:rsidP="000A3484">
      <w:pPr>
        <w:ind w:firstLine="420"/>
        <w:jc w:val="both"/>
      </w:pPr>
      <w:r>
        <w:t xml:space="preserve">Language on social media is shaped not only by what users feel but also by where they speak. Social-media platforms provide different </w:t>
      </w:r>
      <w:r>
        <w:rPr>
          <w:b/>
          <w:bCs/>
        </w:rPr>
        <w:t>affordances</w:t>
      </w:r>
      <w:r>
        <w:t>, meaning different possibilities and limits for communication. Features such as post length, visibility, persistence, audience, community structure, and response format influence how people present themselves. Research on online self-presentation shows that users’ perceptions of these affordances vary across platforms and affect what kinds of identities and experiences are easy or appropriate to display (DeVito et al., 2017).</w:t>
      </w:r>
    </w:p>
    <w:p w14:paraId="1C98E826" w14:textId="77777777" w:rsidR="000A3484" w:rsidRPr="000A3484" w:rsidRDefault="000A3484" w:rsidP="000A3484">
      <w:pPr>
        <w:ind w:firstLine="420"/>
        <w:jc w:val="both"/>
      </w:pPr>
      <w:r>
        <w:t>This perspective justifies comparing Tieba and Bilibili, but it also limits the interpretation of that comparison. Tieba’s topic-centered forums and longer posts may make detailed personal narratives easier to produce. Bilibili comments are usually written in response to a video and often favor shorter, audience-aware reactions. Conversational styles should therefore differ. Longer forum discussions may contain more explanation, self-disclosure, and reflection, while video comments may contain more compressed humor, performance, or immediate evaluation.</w:t>
      </w:r>
    </w:p>
    <w:p w14:paraId="310EB8BF" w14:textId="77777777" w:rsidR="000A3484" w:rsidRPr="000A3484" w:rsidRDefault="000A3484" w:rsidP="000A3484">
      <w:pPr>
        <w:ind w:firstLine="420"/>
        <w:jc w:val="both"/>
      </w:pPr>
      <w:r>
        <w:t xml:space="preserve">However, a difference between the two corpora would not demonstrate that either platform </w:t>
      </w:r>
      <w:r>
        <w:rPr>
          <w:i/>
        </w:rPr>
        <w:t>causes</w:t>
      </w:r>
      <w:r>
        <w:t xml:space="preserve"> users to think in a particular way. The observed difference could result from platform design, different user populations, different search terms, the topics of sampled videos or threads, or different norms of participation. The safest claim is that the platforms provide different </w:t>
      </w:r>
      <w:r>
        <w:rPr>
          <w:b/>
        </w:rPr>
        <w:t>discursive environments</w:t>
      </w:r>
      <w:r>
        <w:t>, settings where some forms of expression are more visible than others.</w:t>
      </w:r>
    </w:p>
    <w:p w14:paraId="1CD2410B" w14:textId="77777777" w:rsidR="000A3484" w:rsidRPr="000A3484" w:rsidRDefault="000A3484" w:rsidP="000A3484">
      <w:pPr>
        <w:ind w:firstLine="420"/>
        <w:jc w:val="both"/>
      </w:pPr>
      <w:r>
        <w:t>The second expectation is descriptive:</w:t>
      </w:r>
    </w:p>
    <w:p w14:paraId="49160BAD" w14:textId="77777777" w:rsidR="000A3484" w:rsidRPr="000A3484" w:rsidRDefault="000A3484" w:rsidP="000A3484">
      <w:pPr>
        <w:ind w:left="840"/>
        <w:jc w:val="both"/>
      </w:pPr>
      <w:r>
        <w:rPr>
          <w:b/>
          <w:bCs/>
        </w:rPr>
        <w:t>H2: Platformed expression.</w:t>
      </w:r>
      <w:r>
        <w:t xml:space="preserve"> Tieba texts are expected to contain more developed attachment, substitution, and dependence-risk narratives, whereas Bilibili comments are expected to contain a higher proportion of playful-performance framing.</w:t>
      </w:r>
    </w:p>
    <w:p w14:paraId="6DCACD07" w14:textId="77777777" w:rsidR="000A3484" w:rsidRPr="000A3484" w:rsidRDefault="000A3484" w:rsidP="000A3484">
      <w:pPr>
        <w:ind w:firstLine="420"/>
        <w:jc w:val="both"/>
      </w:pPr>
      <w:r>
        <w:t>H2 should be read as a hypothesis about the sampled texts, not as a claim that Tieba users are more attached or that Bilibili users take AI relationships less seriously. If the data do not support the expectation, that is still informative: it would mean the four frames travel across platform settings more easily than anticipated.</w:t>
      </w:r>
    </w:p>
    <w:p w14:paraId="182875F0" w14:textId="77777777" w:rsidR="000A3484" w:rsidRPr="000A3484" w:rsidRDefault="000A3484" w:rsidP="000A3484">
      <w:pPr>
        <w:pStyle w:val="2"/>
        <w:jc w:val="both"/>
        <w:rPr>
          <w:b/>
          <w:bCs/>
        </w:rPr>
      </w:pPr>
      <w:r>
        <w:t>Methodological implications</w:t>
      </w:r>
    </w:p>
    <w:p w14:paraId="63413D58" w14:textId="189940A0" w:rsidR="000A3484" w:rsidRPr="000A3484" w:rsidRDefault="000A3484" w:rsidP="000A3484">
      <w:pPr>
        <w:ind w:firstLine="420"/>
        <w:jc w:val="both"/>
      </w:pPr>
      <w:r>
        <w:t xml:space="preserve">The theoretical argument supports a </w:t>
      </w:r>
      <w:r>
        <w:rPr>
          <w:b/>
          <w:bCs/>
        </w:rPr>
        <w:t>hybrid content-analysis design</w:t>
      </w:r>
      <w:r>
        <w:t xml:space="preserve"> combining close human reading with dictionary-assisted measurement. Fully manual coding is sensitive to context but becomes costly and difficult to apply consistently across a larger corpus. Automated text analysis can process more material through transparent and repeatable rules, but its output is not automatically valid. Words change meaning across contexts, and sarcasm, negation, slang, and implied meaning are especially difficult for simple dictionaries. Grimmer and Stewart (2013) therefore stress that automated text methods must be validated for the specific concepts and corpus being studied.</w:t>
      </w:r>
    </w:p>
    <w:p w14:paraId="58DB4BE8" w14:textId="77777777" w:rsidR="000A3484" w:rsidRPr="000A3484" w:rsidRDefault="000A3484" w:rsidP="000A3484">
      <w:pPr>
        <w:ind w:firstLine="420"/>
        <w:jc w:val="both"/>
      </w:pPr>
      <w:r>
        <w:t>For this reason, the codebook, not the dictionary, is the main measurement instrument. Each frame should receive a clear conceptual definition, inclusion and exclusion rules, and several positive, negative, and ambiguous examples. Human coders should first apply these rules independently to a pilot subset. Disagreements can then reveal where definitions are vague or where a Chinese expression carries multiple meanings. Only after revising the codebook should the project build or expand frame-specific dictionaries.</w:t>
      </w:r>
    </w:p>
    <w:p w14:paraId="6FFBF58B" w14:textId="4A50F026" w:rsidR="000A3484" w:rsidRPr="000A3484" w:rsidRDefault="000A3484" w:rsidP="000A3484">
      <w:pPr>
        <w:ind w:firstLine="420"/>
        <w:jc w:val="both"/>
      </w:pPr>
      <w:r>
        <w:t>The four dimensions should be coded separately, preferably using the proposed scale of 0 for absent, 1 for weak or ambiguous, and 2 for clearly present. Separate scores preserve overlap and avoid forcing a text into one category. Because this is an ordinal scale, the reliability test should match the scale rather than treating all disagreements as equal. Krippendorff’s alpha is suitable because it can handle more than two coders, missing judgments, and different levels of measurement. As a conventional guide, values of .80 or higher support reliable conclusions, while values from .667 to .80 justify only cautious or tentative claims; these are conventions rather than universal laws and should be stated in advance (Krippendorff, 2019).</w:t>
      </w:r>
    </w:p>
    <w:p w14:paraId="3007D5C6" w14:textId="77777777" w:rsidR="000A3484" w:rsidRPr="000A3484" w:rsidRDefault="000A3484" w:rsidP="000A3484">
      <w:pPr>
        <w:ind w:firstLine="420"/>
        <w:jc w:val="both"/>
      </w:pPr>
      <w:r>
        <w:t xml:space="preserve">The dictionary should then be tested against human-coded texts that were not used to choose its terms, where feasible. </w:t>
      </w:r>
      <w:r>
        <w:rPr>
          <w:b/>
        </w:rPr>
        <w:t>Precision</w:t>
      </w:r>
      <w:r>
        <w:t xml:space="preserve"> asks what proportion of texts identified by the dictionary are true examples according to human coding. </w:t>
      </w:r>
      <w:r>
        <w:rPr>
          <w:b/>
        </w:rPr>
        <w:t>Recall</w:t>
      </w:r>
      <w:r>
        <w:t xml:space="preserve"> asks what proportion of human-coded examples the dictionary successfully finds. Both measures matter: a narrow dictionary can achieve high precision by flagging only obvious cases while missing subtle language; an expansive dictionary finds more relevant texts but produces more false positives. Reporting results by dimension is preferable because attachment language may be easier to identify than irony or dependence.</w:t>
      </w:r>
    </w:p>
    <w:p w14:paraId="37A0E592" w14:textId="77777777" w:rsidR="000A3484" w:rsidRPr="000A3484" w:rsidRDefault="000A3484" w:rsidP="000A3484">
      <w:pPr>
        <w:ind w:firstLine="420"/>
        <w:jc w:val="both"/>
      </w:pPr>
      <w:r>
        <w:t xml:space="preserve">The unit of analysis must also remain clear. One observation is one post or comment, not one person. Several texts may come from the same account, and one short comment may contain too little information to characterize its author. Accordingly, </w:t>
      </w:r>
      <w:r>
        <w:lastRenderedPageBreak/>
        <w:t xml:space="preserve">findings should be phrased as the proportion or pattern of </w:t>
      </w:r>
      <w:r>
        <w:rPr>
          <w:b/>
          <w:bCs/>
        </w:rPr>
        <w:t>texts</w:t>
      </w:r>
      <w:r>
        <w:t xml:space="preserve"> containing each frame. If repeated user identifiers can be retained in hashed form, a robustness check can assess whether a small number of highly active accounts drive the results.</w:t>
      </w:r>
    </w:p>
    <w:p w14:paraId="3293E74F" w14:textId="77777777" w:rsidR="000A3484" w:rsidRPr="000A3484" w:rsidRDefault="000A3484" w:rsidP="000A3484">
      <w:pPr>
        <w:ind w:firstLine="420"/>
        <w:jc w:val="both"/>
      </w:pPr>
      <w:r>
        <w:t>Finally, the design supports descriptive and associational conclusions only. It can identify which frames appear, how they overlap, and whether their observed prevalence differs between the two sampled platform corpora. It cannot estimate the prevalence of emotional attachment among all Chinese AI-companion users, determine whether the expressed emotions are sincere, or show that platform use causes attachment or dependence. Stating these limits sharpens the contribution. The study maps how Chinese social-media texts publicly construct the meaning of AI companionship.</w:t>
      </w:r>
    </w:p>
    <w:p w14:paraId="2C939033" w14:textId="77777777" w:rsidR="000A3484" w:rsidRDefault="000A3484">
      <w:pPr>
        <w:widowControl/>
        <w:rPr>
          <w:b/>
          <w:bCs/>
        </w:rPr>
      </w:pPr>
      <w:r>
        <w:rPr>
          <w:b/>
          <w:bCs/>
        </w:rPr>
        <w:br w:type="page"/>
      </w:r>
    </w:p>
    <w:p w14:paraId="6F1D904C" w14:textId="45857984" w:rsidR="000A3484" w:rsidRPr="000A3484" w:rsidRDefault="000A3484" w:rsidP="000A3484">
      <w:pPr>
        <w:rPr>
          <w:b/>
          <w:bCs/>
          <w:sz w:val="28"/>
          <w:szCs w:val="28"/>
        </w:rPr>
      </w:pPr>
      <w:r>
        <w:rPr>
          <w:b/>
          <w:bCs/>
          <w:sz w:val="28"/>
          <w:szCs w:val="28"/>
        </w:rPr>
        <w:lastRenderedPageBreak/>
        <w:t>References</w:t>
      </w:r>
    </w:p>
    <w:p w14:paraId="5C35A234" w14:textId="77777777" w:rsidR="000A3484" w:rsidRPr="000A3484" w:rsidRDefault="000A3484" w:rsidP="000A3484">
      <w:pPr>
        <w:spacing w:line="240" w:lineRule="auto"/>
        <w:ind w:left="480" w:hangingChars="200" w:hanging="480"/>
      </w:pPr>
      <w:r>
        <w:t xml:space="preserve">Brandtzaeg, P. B., Skjuve, M., &amp; Følstad, A. (2022). My AI friend: How users of a social chatbot understand their human–AI friendship. </w:t>
      </w:r>
      <w:r>
        <w:rPr>
          <w:i/>
          <w:iCs/>
        </w:rPr>
        <w:t>Human Communication Research, 48</w:t>
      </w:r>
      <w:r>
        <w:t xml:space="preserve">(3), 404–429. </w:t>
      </w:r>
      <w:hyperlink r:id="rId4" w:tgtFrame="_blank" w:history="1">
        <w:r>
          <w:rPr>
            <w:rStyle w:val="ae"/>
          </w:rPr>
          <w:t>https://doi.org/10.1093/hcr/hqac008</w:t>
        </w:r>
      </w:hyperlink>
    </w:p>
    <w:p w14:paraId="109C82A1" w14:textId="77777777" w:rsidR="000A3484" w:rsidRPr="000A3484" w:rsidRDefault="000A3484" w:rsidP="000A3484">
      <w:pPr>
        <w:spacing w:line="240" w:lineRule="auto"/>
        <w:ind w:left="480" w:hangingChars="200" w:hanging="480"/>
      </w:pPr>
      <w:r>
        <w:t xml:space="preserve">De Freitas, J., Oğuz-Uğuralp, Z., Uğuralp, A. K., &amp; Puntoni, S. (2025). AI companions reduce loneliness. </w:t>
      </w:r>
      <w:r>
        <w:rPr>
          <w:i/>
          <w:iCs/>
        </w:rPr>
        <w:t>Journal of Consumer Research, 52</w:t>
      </w:r>
      <w:r>
        <w:t xml:space="preserve">(6), 1126–1148. </w:t>
      </w:r>
      <w:hyperlink r:id="rId5" w:tgtFrame="_blank" w:history="1">
        <w:r>
          <w:rPr>
            <w:rStyle w:val="ae"/>
          </w:rPr>
          <w:t>https://doi.org/10.1093/jcr/ucaf040</w:t>
        </w:r>
      </w:hyperlink>
    </w:p>
    <w:p w14:paraId="5F4C16E1" w14:textId="77777777" w:rsidR="000A3484" w:rsidRPr="000A3484" w:rsidRDefault="000A3484" w:rsidP="000A3484">
      <w:pPr>
        <w:spacing w:line="240" w:lineRule="auto"/>
        <w:ind w:left="480" w:hangingChars="200" w:hanging="480"/>
      </w:pPr>
      <w:r>
        <w:t xml:space="preserve">DeVito, M. A., Birnholtz, J., &amp; Hancock, J. T. (2017). Platforms, people, and perception: Using affordances to understand self-presentation on social media. In </w:t>
      </w:r>
      <w:r>
        <w:rPr>
          <w:i/>
          <w:iCs/>
        </w:rPr>
        <w:t>Proceedings of the 2017 ACM Conference on Computer Supported Cooperative Work and Social Computing</w:t>
      </w:r>
      <w:r>
        <w:t xml:space="preserve"> (pp. 740–754). Association for Computing Machinery. </w:t>
      </w:r>
      <w:hyperlink r:id="rId6" w:tgtFrame="_blank" w:history="1">
        <w:r>
          <w:rPr>
            <w:rStyle w:val="ae"/>
          </w:rPr>
          <w:t>https://doi.org/10.1145/2998181.2998192</w:t>
        </w:r>
      </w:hyperlink>
    </w:p>
    <w:p w14:paraId="05169F04" w14:textId="77777777" w:rsidR="000A3484" w:rsidRPr="000A3484" w:rsidRDefault="000A3484" w:rsidP="000A3484">
      <w:pPr>
        <w:spacing w:line="240" w:lineRule="auto"/>
        <w:ind w:left="480" w:hangingChars="200" w:hanging="480"/>
      </w:pPr>
      <w:r>
        <w:t xml:space="preserve">Entman, R. M. (1993). Framing: Toward clarification of a fractured paradigm. </w:t>
      </w:r>
      <w:r>
        <w:rPr>
          <w:i/>
          <w:iCs/>
        </w:rPr>
        <w:t>Journal of Communication, 43</w:t>
      </w:r>
      <w:r>
        <w:t xml:space="preserve">(4), 51–58. </w:t>
      </w:r>
      <w:hyperlink r:id="rId7" w:tgtFrame="_blank" w:history="1">
        <w:r>
          <w:rPr>
            <w:rStyle w:val="ae"/>
          </w:rPr>
          <w:t>https://doi.org/10.1111/j.1460-2466.1993.tb01304.x</w:t>
        </w:r>
      </w:hyperlink>
    </w:p>
    <w:p w14:paraId="4FDF17CC" w14:textId="77777777" w:rsidR="000A3484" w:rsidRPr="000A3484" w:rsidRDefault="000A3484" w:rsidP="000A3484">
      <w:pPr>
        <w:spacing w:line="240" w:lineRule="auto"/>
        <w:ind w:left="480" w:hangingChars="200" w:hanging="480"/>
      </w:pPr>
      <w:r>
        <w:t xml:space="preserve">Epley, N., Waytz, A., &amp; Cacioppo, J. T. (2007). On seeing human: A three-factor theory of anthropomorphism. </w:t>
      </w:r>
      <w:r>
        <w:rPr>
          <w:i/>
          <w:iCs/>
        </w:rPr>
        <w:t>Psychological Review, 114</w:t>
      </w:r>
      <w:r>
        <w:t xml:space="preserve">(4), 864–886. </w:t>
      </w:r>
      <w:hyperlink r:id="rId8" w:tgtFrame="_blank" w:history="1">
        <w:r>
          <w:rPr>
            <w:rStyle w:val="ae"/>
          </w:rPr>
          <w:t>https://doi.org/10.1037/0033-295X.114.4.864</w:t>
        </w:r>
      </w:hyperlink>
    </w:p>
    <w:p w14:paraId="3CA0C18E" w14:textId="77777777" w:rsidR="000A3484" w:rsidRPr="000A3484" w:rsidRDefault="000A3484" w:rsidP="000A3484">
      <w:pPr>
        <w:spacing w:line="240" w:lineRule="auto"/>
        <w:ind w:left="480" w:hangingChars="200" w:hanging="480"/>
      </w:pPr>
      <w:r>
        <w:t xml:space="preserve">Grimmer, J., &amp; Stewart, B. M. (2013). Text as data: The promise and pitfalls of automatic content analysis methods for political texts. </w:t>
      </w:r>
      <w:r>
        <w:rPr>
          <w:i/>
          <w:iCs/>
        </w:rPr>
        <w:t>Political Analysis, 21</w:t>
      </w:r>
      <w:r>
        <w:t xml:space="preserve">(3), 267–297. </w:t>
      </w:r>
      <w:hyperlink r:id="rId9" w:tgtFrame="_blank" w:history="1">
        <w:r>
          <w:rPr>
            <w:rStyle w:val="ae"/>
          </w:rPr>
          <w:t>https://doi.org/10.1093/pan/mps028</w:t>
        </w:r>
      </w:hyperlink>
    </w:p>
    <w:p w14:paraId="7E2E3342" w14:textId="77777777" w:rsidR="000A3484" w:rsidRPr="000A3484" w:rsidRDefault="000A3484" w:rsidP="000A3484">
      <w:pPr>
        <w:spacing w:line="240" w:lineRule="auto"/>
        <w:ind w:left="480" w:hangingChars="200" w:hanging="480"/>
      </w:pPr>
      <w:r>
        <w:t xml:space="preserve">Horton, D., &amp; Wohl, R. R. (1956). Mass communication and para-social interaction: Observations on intimacy at a distance. </w:t>
      </w:r>
      <w:r>
        <w:rPr>
          <w:i/>
          <w:iCs/>
        </w:rPr>
        <w:t>Psychiatry, 19</w:t>
      </w:r>
      <w:r>
        <w:t xml:space="preserve">(3), 215–229. </w:t>
      </w:r>
      <w:hyperlink r:id="rId10" w:tgtFrame="_blank" w:history="1">
        <w:r>
          <w:rPr>
            <w:rStyle w:val="ae"/>
          </w:rPr>
          <w:t>https://doi.org/10.1080/00332747.1956.11023049</w:t>
        </w:r>
      </w:hyperlink>
    </w:p>
    <w:p w14:paraId="4D71608A" w14:textId="77777777" w:rsidR="000A3484" w:rsidRPr="000A3484" w:rsidRDefault="000A3484" w:rsidP="000A3484">
      <w:pPr>
        <w:spacing w:line="240" w:lineRule="auto"/>
        <w:ind w:left="480" w:hangingChars="200" w:hanging="480"/>
      </w:pPr>
      <w:r>
        <w:t xml:space="preserve">Krippendorff, K. (2019). </w:t>
      </w:r>
      <w:r>
        <w:rPr>
          <w:i/>
          <w:iCs/>
        </w:rPr>
        <w:t>Content analysis: An introduction to its methodology</w:t>
      </w:r>
      <w:r>
        <w:t xml:space="preserve"> (4th ed.). SAGE.</w:t>
      </w:r>
    </w:p>
    <w:p w14:paraId="119167D3" w14:textId="77777777" w:rsidR="000A3484" w:rsidRPr="000A3484" w:rsidRDefault="000A3484" w:rsidP="000A3484">
      <w:pPr>
        <w:spacing w:line="240" w:lineRule="auto"/>
        <w:ind w:left="480" w:hangingChars="200" w:hanging="480"/>
      </w:pPr>
      <w:r>
        <w:t xml:space="preserve">Pan, S., &amp; Mou, Y. (2024). Constructing the meaning of human–AI romantic relationships from the perspectives of users dating the social chatbot Replika. </w:t>
      </w:r>
      <w:r>
        <w:rPr>
          <w:i/>
          <w:iCs/>
        </w:rPr>
        <w:t>Personal Relationships, 31</w:t>
      </w:r>
      <w:r>
        <w:t xml:space="preserve">(4), 1090–1112. </w:t>
      </w:r>
      <w:hyperlink r:id="rId11" w:tgtFrame="_blank" w:history="1">
        <w:r>
          <w:rPr>
            <w:rStyle w:val="ae"/>
          </w:rPr>
          <w:t>https://doi.org/10.1111/pere.12572</w:t>
        </w:r>
      </w:hyperlink>
    </w:p>
    <w:p w14:paraId="1248CD64" w14:textId="77777777" w:rsidR="000A3484" w:rsidRPr="000A3484" w:rsidRDefault="000A3484" w:rsidP="000A3484">
      <w:pPr>
        <w:spacing w:line="240" w:lineRule="auto"/>
        <w:ind w:left="480" w:hangingChars="200" w:hanging="480"/>
      </w:pPr>
      <w:r>
        <w:t xml:space="preserve">Skjuve, M., Følstad, A., Fostervold, K. I., &amp; Brandtzaeg, P. B. (2021). My chatbot companion—A study of human–chatbot relationships. </w:t>
      </w:r>
      <w:r>
        <w:rPr>
          <w:i/>
          <w:iCs/>
        </w:rPr>
        <w:t>International Journal of Human-Computer Studies, 149</w:t>
      </w:r>
      <w:r>
        <w:t xml:space="preserve">, Article 102601. </w:t>
      </w:r>
      <w:hyperlink r:id="rId12" w:tgtFrame="_blank" w:history="1">
        <w:r>
          <w:rPr>
            <w:rStyle w:val="ae"/>
          </w:rPr>
          <w:t>https://doi.org/10.1016/j.ijhcs.2021.102601</w:t>
        </w:r>
      </w:hyperlink>
    </w:p>
    <w:p w14:paraId="0DFC309A" w14:textId="77777777" w:rsidR="000A3484" w:rsidRPr="000A3484" w:rsidRDefault="000A3484" w:rsidP="000A3484">
      <w:pPr>
        <w:spacing w:line="240" w:lineRule="auto"/>
        <w:ind w:left="480" w:hangingChars="200" w:hanging="480"/>
      </w:pPr>
      <w:r>
        <w:t xml:space="preserve">Ta, V., Griffith, C., Boatfield, C., Wang, X., Civitello, M., Bader, H., DeCero, E., &amp; Loggarakis, A. (2020). User experiences of social support from companion chatbots in everyday contexts: Thematic analysis. </w:t>
      </w:r>
      <w:r>
        <w:rPr>
          <w:i/>
          <w:iCs/>
        </w:rPr>
        <w:t>Journal of Medical Internet Research, 22</w:t>
      </w:r>
      <w:r>
        <w:t xml:space="preserve">(3), Article e16235. </w:t>
      </w:r>
      <w:hyperlink r:id="rId13" w:tgtFrame="_blank" w:history="1">
        <w:r>
          <w:rPr>
            <w:rStyle w:val="ae"/>
          </w:rPr>
          <w:t>https://doi.org/10.2196/16235</w:t>
        </w:r>
      </w:hyperlink>
    </w:p>
    <w:p w14:paraId="1EE12B0F" w14:textId="77777777" w:rsidR="000A3484" w:rsidRPr="000A3484" w:rsidRDefault="000A3484" w:rsidP="000A3484">
      <w:pPr>
        <w:spacing w:line="240" w:lineRule="auto"/>
        <w:ind w:left="480" w:hangingChars="200" w:hanging="480"/>
      </w:pPr>
      <w:r>
        <w:lastRenderedPageBreak/>
        <w:t xml:space="preserve">Xie, T., &amp; </w:t>
      </w:r>
      <w:r>
        <w:t xml:space="preserve">Pentina, I. (2022). Attachment theory as a framework to understand relationships with social chatbots: A case study of Replika. In </w:t>
      </w:r>
      <w:r>
        <w:rPr>
          <w:i/>
          <w:iCs/>
        </w:rPr>
        <w:t>Proceedings of the 55th Hawaii International Conference on System Sciences</w:t>
      </w:r>
      <w:r>
        <w:t xml:space="preserve">. </w:t>
      </w:r>
      <w:hyperlink r:id="rId14" w:tgtFrame="_blank" w:history="1">
        <w:r>
          <w:rPr>
            <w:rStyle w:val="ae"/>
          </w:rPr>
          <w:t>https://doi.org/10.24251/HICSS.2022.258</w:t>
        </w:r>
      </w:hyperlink>
    </w:p>
    <w:p w14:paraId="49A146A6" w14:textId="77777777" w:rsidR="00EF1898" w:rsidRDefault="00EF1898"/>
    <w:sectPr w:rsidR="00EF1898">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2AC7"/>
    <w:rsid w:val="000A3484"/>
    <w:rsid w:val="001F2AC7"/>
    <w:rsid w:val="00211754"/>
    <w:rsid w:val="00340E02"/>
    <w:rsid w:val="00385B15"/>
    <w:rsid w:val="007F0745"/>
    <w:rsid w:val="00865F1A"/>
    <w:rsid w:val="008B2E90"/>
    <w:rsid w:val="00930C4D"/>
    <w:rsid w:val="00932891"/>
    <w:rsid w:val="00EF1898"/>
    <w:rsid w:val="00FB0EB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F8691C"/>
  <w15:chartTrackingRefBased/>
  <w15:docId w15:val="{6D2DED6C-F7CC-4D93-83FB-8425D0AD33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0A3484"/>
    <w:pPr>
      <w:keepNext/>
      <w:keepLines/>
      <w:spacing w:before="480" w:after="80"/>
      <w:outlineLvl w:val="0"/>
    </w:pPr>
    <w:rPr>
      <w:rFonts w:eastAsiaTheme="majorEastAsia" w:cstheme="majorBidi"/>
      <w:color w:val="0F4761" w:themeColor="accent1" w:themeShade="BF"/>
      <w:sz w:val="48"/>
      <w:szCs w:val="48"/>
    </w:rPr>
  </w:style>
  <w:style w:type="paragraph" w:styleId="2">
    <w:name w:val="heading 2"/>
    <w:basedOn w:val="a"/>
    <w:next w:val="a"/>
    <w:link w:val="20"/>
    <w:uiPriority w:val="9"/>
    <w:unhideWhenUsed/>
    <w:qFormat/>
    <w:rsid w:val="000A3484"/>
    <w:pPr>
      <w:keepNext/>
      <w:keepLines/>
      <w:spacing w:before="160" w:after="80"/>
      <w:outlineLvl w:val="1"/>
    </w:pPr>
    <w:rPr>
      <w:rFonts w:eastAsiaTheme="majorEastAsia" w:cstheme="majorBidi"/>
      <w:color w:val="0F4761" w:themeColor="accent1" w:themeShade="BF"/>
      <w:szCs w:val="40"/>
    </w:rPr>
  </w:style>
  <w:style w:type="paragraph" w:styleId="3">
    <w:name w:val="heading 3"/>
    <w:basedOn w:val="a"/>
    <w:next w:val="a"/>
    <w:link w:val="30"/>
    <w:uiPriority w:val="9"/>
    <w:semiHidden/>
    <w:unhideWhenUsed/>
    <w:qFormat/>
    <w:rsid w:val="001F2AC7"/>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1F2AC7"/>
    <w:pPr>
      <w:keepNext/>
      <w:keepLines/>
      <w:spacing w:before="80" w:after="40"/>
      <w:outlineLvl w:val="3"/>
    </w:pPr>
    <w:rPr>
      <w:rFonts w:asciiTheme="minorHAnsi" w:eastAsiaTheme="minorEastAsia" w:hAnsiTheme="minorHAnsi" w:cstheme="majorBidi"/>
      <w:color w:val="0F4761" w:themeColor="accent1" w:themeShade="BF"/>
      <w:sz w:val="28"/>
      <w:szCs w:val="28"/>
    </w:rPr>
  </w:style>
  <w:style w:type="paragraph" w:styleId="5">
    <w:name w:val="heading 5"/>
    <w:basedOn w:val="a"/>
    <w:next w:val="a"/>
    <w:link w:val="50"/>
    <w:uiPriority w:val="9"/>
    <w:semiHidden/>
    <w:unhideWhenUsed/>
    <w:qFormat/>
    <w:rsid w:val="001F2AC7"/>
    <w:pPr>
      <w:keepNext/>
      <w:keepLines/>
      <w:spacing w:before="80" w:after="40"/>
      <w:outlineLvl w:val="4"/>
    </w:pPr>
    <w:rPr>
      <w:rFonts w:asciiTheme="minorHAnsi" w:eastAsiaTheme="minorEastAsia" w:hAnsiTheme="minorHAnsi" w:cstheme="majorBidi"/>
      <w:color w:val="0F4761" w:themeColor="accent1" w:themeShade="BF"/>
    </w:rPr>
  </w:style>
  <w:style w:type="paragraph" w:styleId="6">
    <w:name w:val="heading 6"/>
    <w:basedOn w:val="a"/>
    <w:next w:val="a"/>
    <w:link w:val="60"/>
    <w:uiPriority w:val="9"/>
    <w:semiHidden/>
    <w:unhideWhenUsed/>
    <w:qFormat/>
    <w:rsid w:val="001F2AC7"/>
    <w:pPr>
      <w:keepNext/>
      <w:keepLines/>
      <w:spacing w:before="40" w:after="0"/>
      <w:outlineLvl w:val="5"/>
    </w:pPr>
    <w:rPr>
      <w:rFonts w:asciiTheme="minorHAnsi" w:eastAsiaTheme="minorEastAsia" w:hAnsiTheme="minorHAnsi" w:cstheme="majorBidi"/>
      <w:b/>
      <w:bCs/>
      <w:color w:val="0F4761" w:themeColor="accent1" w:themeShade="BF"/>
    </w:rPr>
  </w:style>
  <w:style w:type="paragraph" w:styleId="7">
    <w:name w:val="heading 7"/>
    <w:basedOn w:val="a"/>
    <w:next w:val="a"/>
    <w:link w:val="70"/>
    <w:uiPriority w:val="9"/>
    <w:semiHidden/>
    <w:unhideWhenUsed/>
    <w:qFormat/>
    <w:rsid w:val="001F2AC7"/>
    <w:pPr>
      <w:keepNext/>
      <w:keepLines/>
      <w:spacing w:before="40" w:after="0"/>
      <w:outlineLvl w:val="6"/>
    </w:pPr>
    <w:rPr>
      <w:rFonts w:asciiTheme="minorHAnsi" w:eastAsiaTheme="minorEastAsia" w:hAnsiTheme="minorHAnsi" w:cstheme="majorBidi"/>
      <w:b/>
      <w:bCs/>
      <w:color w:val="595959" w:themeColor="text1" w:themeTint="A6"/>
    </w:rPr>
  </w:style>
  <w:style w:type="paragraph" w:styleId="8">
    <w:name w:val="heading 8"/>
    <w:basedOn w:val="a"/>
    <w:next w:val="a"/>
    <w:link w:val="80"/>
    <w:uiPriority w:val="9"/>
    <w:semiHidden/>
    <w:unhideWhenUsed/>
    <w:qFormat/>
    <w:rsid w:val="001F2AC7"/>
    <w:pPr>
      <w:keepNext/>
      <w:keepLines/>
      <w:spacing w:after="0"/>
      <w:outlineLvl w:val="7"/>
    </w:pPr>
    <w:rPr>
      <w:rFonts w:asciiTheme="minorHAnsi" w:eastAsiaTheme="minorEastAsia" w:hAnsiTheme="minorHAnsi" w:cstheme="majorBidi"/>
      <w:color w:val="595959" w:themeColor="text1" w:themeTint="A6"/>
    </w:rPr>
  </w:style>
  <w:style w:type="paragraph" w:styleId="9">
    <w:name w:val="heading 9"/>
    <w:basedOn w:val="a"/>
    <w:next w:val="a"/>
    <w:link w:val="90"/>
    <w:uiPriority w:val="9"/>
    <w:semiHidden/>
    <w:unhideWhenUsed/>
    <w:qFormat/>
    <w:rsid w:val="001F2AC7"/>
    <w:pPr>
      <w:keepNext/>
      <w:keepLines/>
      <w:spacing w:after="0"/>
      <w:outlineLvl w:val="8"/>
    </w:pPr>
    <w:rPr>
      <w:rFonts w:asciiTheme="minorHAnsi" w:eastAsiaTheme="majorEastAsia" w:hAnsiTheme="minorHAnsi"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A3484"/>
    <w:rPr>
      <w:rFonts w:eastAsiaTheme="majorEastAsia" w:cstheme="majorBidi"/>
      <w:color w:val="0F4761" w:themeColor="accent1" w:themeShade="BF"/>
      <w:sz w:val="48"/>
      <w:szCs w:val="48"/>
    </w:rPr>
  </w:style>
  <w:style w:type="character" w:customStyle="1" w:styleId="20">
    <w:name w:val="标题 2 字符"/>
    <w:basedOn w:val="a0"/>
    <w:link w:val="2"/>
    <w:uiPriority w:val="9"/>
    <w:rsid w:val="000A3484"/>
    <w:rPr>
      <w:rFonts w:eastAsiaTheme="majorEastAsia" w:cstheme="majorBidi"/>
      <w:color w:val="0F4761" w:themeColor="accent1" w:themeShade="BF"/>
      <w:szCs w:val="40"/>
    </w:rPr>
  </w:style>
  <w:style w:type="character" w:customStyle="1" w:styleId="30">
    <w:name w:val="标题 3 字符"/>
    <w:basedOn w:val="a0"/>
    <w:link w:val="3"/>
    <w:uiPriority w:val="9"/>
    <w:semiHidden/>
    <w:rsid w:val="001F2AC7"/>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1F2AC7"/>
    <w:rPr>
      <w:rFonts w:asciiTheme="minorHAnsi" w:eastAsiaTheme="minorEastAsia" w:hAnsiTheme="minorHAnsi" w:cstheme="majorBidi"/>
      <w:color w:val="0F4761" w:themeColor="accent1" w:themeShade="BF"/>
      <w:sz w:val="28"/>
      <w:szCs w:val="28"/>
    </w:rPr>
  </w:style>
  <w:style w:type="character" w:customStyle="1" w:styleId="50">
    <w:name w:val="标题 5 字符"/>
    <w:basedOn w:val="a0"/>
    <w:link w:val="5"/>
    <w:uiPriority w:val="9"/>
    <w:semiHidden/>
    <w:rsid w:val="001F2AC7"/>
    <w:rPr>
      <w:rFonts w:asciiTheme="minorHAnsi" w:eastAsiaTheme="minorEastAsia" w:hAnsiTheme="minorHAnsi" w:cstheme="majorBidi"/>
      <w:color w:val="0F4761" w:themeColor="accent1" w:themeShade="BF"/>
    </w:rPr>
  </w:style>
  <w:style w:type="character" w:customStyle="1" w:styleId="60">
    <w:name w:val="标题 6 字符"/>
    <w:basedOn w:val="a0"/>
    <w:link w:val="6"/>
    <w:uiPriority w:val="9"/>
    <w:semiHidden/>
    <w:rsid w:val="001F2AC7"/>
    <w:rPr>
      <w:rFonts w:asciiTheme="minorHAnsi" w:eastAsiaTheme="minorEastAsia" w:hAnsiTheme="minorHAnsi" w:cstheme="majorBidi"/>
      <w:b/>
      <w:bCs/>
      <w:color w:val="0F4761" w:themeColor="accent1" w:themeShade="BF"/>
    </w:rPr>
  </w:style>
  <w:style w:type="character" w:customStyle="1" w:styleId="70">
    <w:name w:val="标题 7 字符"/>
    <w:basedOn w:val="a0"/>
    <w:link w:val="7"/>
    <w:uiPriority w:val="9"/>
    <w:semiHidden/>
    <w:rsid w:val="001F2AC7"/>
    <w:rPr>
      <w:rFonts w:asciiTheme="minorHAnsi" w:eastAsiaTheme="minorEastAsia" w:hAnsiTheme="minorHAnsi" w:cstheme="majorBidi"/>
      <w:b/>
      <w:bCs/>
      <w:color w:val="595959" w:themeColor="text1" w:themeTint="A6"/>
    </w:rPr>
  </w:style>
  <w:style w:type="character" w:customStyle="1" w:styleId="80">
    <w:name w:val="标题 8 字符"/>
    <w:basedOn w:val="a0"/>
    <w:link w:val="8"/>
    <w:uiPriority w:val="9"/>
    <w:semiHidden/>
    <w:rsid w:val="001F2AC7"/>
    <w:rPr>
      <w:rFonts w:asciiTheme="minorHAnsi" w:eastAsiaTheme="minorEastAsia" w:hAnsiTheme="minorHAnsi" w:cstheme="majorBidi"/>
      <w:color w:val="595959" w:themeColor="text1" w:themeTint="A6"/>
    </w:rPr>
  </w:style>
  <w:style w:type="character" w:customStyle="1" w:styleId="90">
    <w:name w:val="标题 9 字符"/>
    <w:basedOn w:val="a0"/>
    <w:link w:val="9"/>
    <w:uiPriority w:val="9"/>
    <w:semiHidden/>
    <w:rsid w:val="001F2AC7"/>
    <w:rPr>
      <w:rFonts w:asciiTheme="minorHAnsi" w:eastAsiaTheme="majorEastAsia" w:hAnsiTheme="minorHAnsi" w:cstheme="majorBidi"/>
      <w:color w:val="595959" w:themeColor="text1" w:themeTint="A6"/>
    </w:rPr>
  </w:style>
  <w:style w:type="paragraph" w:styleId="a3">
    <w:name w:val="Title"/>
    <w:basedOn w:val="a"/>
    <w:next w:val="a"/>
    <w:link w:val="a4"/>
    <w:uiPriority w:val="10"/>
    <w:qFormat/>
    <w:rsid w:val="001F2AC7"/>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1F2AC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F2AC7"/>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1F2AC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F2AC7"/>
    <w:pPr>
      <w:spacing w:before="160"/>
      <w:jc w:val="center"/>
    </w:pPr>
    <w:rPr>
      <w:i/>
      <w:iCs/>
      <w:color w:val="404040" w:themeColor="text1" w:themeTint="BF"/>
    </w:rPr>
  </w:style>
  <w:style w:type="character" w:customStyle="1" w:styleId="a8">
    <w:name w:val="引用 字符"/>
    <w:basedOn w:val="a0"/>
    <w:link w:val="a7"/>
    <w:uiPriority w:val="29"/>
    <w:rsid w:val="001F2AC7"/>
    <w:rPr>
      <w:i/>
      <w:iCs/>
      <w:color w:val="404040" w:themeColor="text1" w:themeTint="BF"/>
    </w:rPr>
  </w:style>
  <w:style w:type="paragraph" w:styleId="a9">
    <w:name w:val="List Paragraph"/>
    <w:basedOn w:val="a"/>
    <w:uiPriority w:val="34"/>
    <w:qFormat/>
    <w:rsid w:val="001F2AC7"/>
    <w:pPr>
      <w:ind w:left="720"/>
      <w:contextualSpacing/>
    </w:pPr>
  </w:style>
  <w:style w:type="character" w:styleId="aa">
    <w:name w:val="Intense Emphasis"/>
    <w:basedOn w:val="a0"/>
    <w:uiPriority w:val="21"/>
    <w:qFormat/>
    <w:rsid w:val="001F2AC7"/>
    <w:rPr>
      <w:i/>
      <w:iCs/>
      <w:color w:val="0F4761" w:themeColor="accent1" w:themeShade="BF"/>
    </w:rPr>
  </w:style>
  <w:style w:type="paragraph" w:styleId="ab">
    <w:name w:val="Intense Quote"/>
    <w:basedOn w:val="a"/>
    <w:next w:val="a"/>
    <w:link w:val="ac"/>
    <w:uiPriority w:val="30"/>
    <w:qFormat/>
    <w:rsid w:val="001F2A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1F2AC7"/>
    <w:rPr>
      <w:i/>
      <w:iCs/>
      <w:color w:val="0F4761" w:themeColor="accent1" w:themeShade="BF"/>
    </w:rPr>
  </w:style>
  <w:style w:type="character" w:styleId="ad">
    <w:name w:val="Intense Reference"/>
    <w:basedOn w:val="a0"/>
    <w:uiPriority w:val="32"/>
    <w:qFormat/>
    <w:rsid w:val="001F2AC7"/>
    <w:rPr>
      <w:b/>
      <w:bCs/>
      <w:smallCaps/>
      <w:color w:val="0F4761" w:themeColor="accent1" w:themeShade="BF"/>
      <w:spacing w:val="5"/>
    </w:rPr>
  </w:style>
  <w:style w:type="character" w:styleId="ae">
    <w:name w:val="Hyperlink"/>
    <w:basedOn w:val="a0"/>
    <w:uiPriority w:val="99"/>
    <w:unhideWhenUsed/>
    <w:rsid w:val="000A3484"/>
    <w:rPr>
      <w:color w:val="467886" w:themeColor="hyperlink"/>
      <w:u w:val="single"/>
    </w:rPr>
  </w:style>
  <w:style w:type="character" w:styleId="af">
    <w:name w:val="Unresolved Mention"/>
    <w:basedOn w:val="a0"/>
    <w:uiPriority w:val="99"/>
    <w:semiHidden/>
    <w:unhideWhenUsed/>
    <w:rsid w:val="000A348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37/0033-295X.114.4.864" TargetMode="External"/><Relationship Id="rId13" Type="http://schemas.openxmlformats.org/officeDocument/2006/relationships/hyperlink" Target="https://doi.org/10.2196/16235" TargetMode="External"/><Relationship Id="rId3" Type="http://schemas.openxmlformats.org/officeDocument/2006/relationships/webSettings" Target="webSettings.xml"/><Relationship Id="rId7" Type="http://schemas.openxmlformats.org/officeDocument/2006/relationships/hyperlink" Target="https://doi.org/10.1111/j.1460-2466.1993.tb01304.x" TargetMode="External"/><Relationship Id="rId12" Type="http://schemas.openxmlformats.org/officeDocument/2006/relationships/hyperlink" Target="https://doi.org/10.1016/j.ijhcs.2021.102601" TargetMode="External"/><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s://doi.org/10.1145/2998181.2998192" TargetMode="External"/><Relationship Id="rId11" Type="http://schemas.openxmlformats.org/officeDocument/2006/relationships/hyperlink" Target="https://doi.org/10.1111/pere.12572" TargetMode="External"/><Relationship Id="rId5" Type="http://schemas.openxmlformats.org/officeDocument/2006/relationships/hyperlink" Target="https://doi.org/10.1093/jcr/ucaf040" TargetMode="External"/><Relationship Id="rId15" Type="http://schemas.openxmlformats.org/officeDocument/2006/relationships/fontTable" Target="fontTable.xml"/><Relationship Id="rId10" Type="http://schemas.openxmlformats.org/officeDocument/2006/relationships/hyperlink" Target="https://doi.org/10.1080/00332747.1956.11023049" TargetMode="External"/><Relationship Id="rId4" Type="http://schemas.openxmlformats.org/officeDocument/2006/relationships/hyperlink" Target="https://doi.org/10.1093/hcr/hqac008" TargetMode="External"/><Relationship Id="rId9" Type="http://schemas.openxmlformats.org/officeDocument/2006/relationships/hyperlink" Target="https://doi.org/10.1093/pan/mps028" TargetMode="External"/><Relationship Id="rId14" Type="http://schemas.openxmlformats.org/officeDocument/2006/relationships/hyperlink" Target="https://doi.org/10.24251/HICSS.2022.258"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10</Pages>
  <Words>3475</Words>
  <Characters>19813</Characters>
  <Application>Microsoft Office Word</Application>
  <DocSecurity>0</DocSecurity>
  <Lines>165</Lines>
  <Paragraphs>46</Paragraphs>
  <ScaleCrop>false</ScaleCrop>
  <Company/>
  <LinksUpToDate>false</LinksUpToDate>
  <CharactersWithSpaces>23242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Yuwen Zhou</dc:creator>
  <cp:keywords/>
  <dc:description/>
  <cp:lastModifiedBy>Yuwen Zhou</cp:lastModifiedBy>
  <cp:revision>2</cp:revision>
  <dcterms:created xsi:type="dcterms:W3CDTF">2026-09-27T11:00:00Z</dcterms:created>
  <dcterms:modified xsi:type="dcterms:W3CDTF">2026-09-27T11:08:00Z</dcterms:modified>
</cp:coreProperties>
</file>