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color w:val="1A1A1A"/>
        </w:rPr>
        <w:t>起沙量级设置方案</w:t>
      </w:r>
    </w:p>
    <w:p>
      <w:r>
        <w:rPr>
          <w:rFonts w:ascii="微软雅黑" w:hAnsi="微软雅黑" w:eastAsia="微软雅黑"/>
          <w:b w:val="0"/>
          <w:i/>
          <w:color w:val="6A6A66"/>
          <w:sz w:val="20"/>
        </w:rPr>
        <w:t>各源区排放补偿系数 · 基于 2026-07-22 的观测诊断</w:t>
      </w:r>
    </w:p>
    <w:p/>
    <w:p>
      <w:pPr>
        <w:pStyle w:val="Heading1"/>
      </w:pPr>
      <w:r>
        <w:rPr>
          <w:rFonts w:ascii="微软雅黑" w:hAnsi="微软雅黑" w:eastAsia="微软雅黑"/>
          <w:color w:val="1A1A1A"/>
        </w:rPr>
        <w:t>一、四种方法的系数汇总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方法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TK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TH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AH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MG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地面 PM10（DUSMASS 对 PM10）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2.13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2.56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2.02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7.57（否决）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MG 的站全在零排放格点上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MODIS 柱 AOD（沙尘期·像元配对）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2.45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1.80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2.69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4.95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严格同时刻同像元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同上·扣 MODIS 高偏 +0.08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2.15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1.34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2.09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4.16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AERONET 实测的 MODIS 偏差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MODIS 增量比（扣事件前背景）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7.26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1.62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3.01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4.34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像元配对 + 背景扣除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AERONET 柱 AOD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07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4–6</w:t>
            </w:r>
          </w:p>
        </w:tc>
        <w:tc>
          <w:tcPr>
            <w:tcW w:type="dxa" w:w="249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Dalanzadgad + AOE_Baotou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A1A1A"/>
        </w:rPr>
        <w:t>二、推荐值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区域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推荐系数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区间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主要依据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TK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7.0×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5–8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增量比（见第三节）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TH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1.7×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1.3–2.6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柱量三法一致；地面 2.56 偏高但仅 2 站且在框缘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AH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2.5×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2.0–3.0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地面 2.02、柱 2.09–2.69、增量 3.01，三法收敛</w:t>
            </w:r>
          </w:p>
        </w:tc>
      </w:tr>
      <w:tr>
        <w:tc>
          <w:tcPr>
            <w:tcW w:type="dxa" w:w="102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MG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4.3×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3.8–5.0</w:t>
            </w:r>
          </w:p>
        </w:tc>
        <w:tc>
          <w:tcPr>
            <w:tcW w:type="dxa" w:w="56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柱量 4.16–4.95 + AERONET 4–6；地面站不可用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1"/>
        </w:rPr>
        <w:t>若改用两区域方案（按 DUEM 窗口内排放质量加权合并）：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区域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组成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质量权重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合并系数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TK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TK 单独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—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7.0×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TK+TH（若并入）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TK : TH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3.24 : 1.24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5.5×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MP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AH + MG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1.53 : 1.37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3.4×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A1A1A"/>
        </w:rPr>
        <w:t>三、TK 为什么是 7 而不是 2.5</w:t>
      </w:r>
    </w:p>
    <w:p>
      <w:r>
        <w:rPr>
          <w:rFonts w:ascii="微软雅黑" w:hAnsi="微软雅黑" w:eastAsia="微软雅黑"/>
          <w:b/>
          <w:i w:val="0"/>
          <w:sz w:val="21"/>
        </w:rPr>
        <w:t>这是本方案最需要解释的一处。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TK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背景（12 次过境）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事件（7 次过境）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增量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MODIS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0.195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0.967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0.772（升 5 倍）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MERRA-2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0.184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0.291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0.107（升 1.6 倍）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sz w:val="21"/>
        </w:rPr>
        <w:t>MERRA-2 把塔克拉玛干的常年背景算得很准（0.184 vs 0.195，差 6%），但几乎完全漏掉了本次事件的增量。</w:t>
      </w:r>
    </w:p>
    <w:p>
      <w:r>
        <w:rPr>
          <w:rFonts w:ascii="微软雅黑" w:hAnsi="微软雅黑" w:eastAsia="微软雅黑"/>
          <w:b w:val="0"/>
          <w:i w:val="0"/>
          <w:sz w:val="21"/>
        </w:rPr>
        <w:t>塔克拉玛干常年有沙尘活动、地表极易蚀，背景 AOD 本身就有 0.2 量级。用「总量之比」（0.967 / 0.291 = 3.33）会把两边共有的背景也算进去，把比值拉向 1，稀释掉真实的事件差异。而 FLEXPART 只释放事件期的沙尘，所以修正系数必须对事件增量而非总量。</w:t>
      </w:r>
    </w:p>
    <w:p>
      <w:r>
        <w:rPr>
          <w:rFonts w:ascii="微软雅黑" w:hAnsi="微软雅黑" w:eastAsia="微软雅黑"/>
          <w:b w:val="0"/>
          <w:i w:val="0"/>
          <w:sz w:val="21"/>
        </w:rPr>
        <w:t>其他三个框背景占比小，扣不扣背景差别不大（TH 1.74→1.62、AH 2.78→3.01、MG 4.93→4.34）；只有 TK 的背景占了事件值的 63%，才出现这么大的分离。</w:t>
      </w:r>
    </w:p>
    <w:p>
      <w:r>
        <w:rPr>
          <w:rFonts w:ascii="微软雅黑" w:hAnsi="微软雅黑" w:eastAsia="微软雅黑"/>
          <w:b/>
          <w:i w:val="0"/>
          <w:sz w:val="21"/>
        </w:rPr>
        <w:t>不确定度：分母 0.107 很小，误差被放大 ——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MERRA-2 增量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0.09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0.107（实测）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0.13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0.15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得到的系数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8.6×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7.2×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5.9×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5.1×</w:t>
            </w:r>
          </w:p>
        </w:tc>
      </w:tr>
    </w:tbl>
    <w:p/>
    <w:p>
      <w:r>
        <w:rPr>
          <w:rFonts w:ascii="微软雅黑" w:hAnsi="微软雅黑" w:eastAsia="微软雅黑"/>
          <w:b w:val="0"/>
          <w:i w:val="0"/>
          <w:sz w:val="21"/>
        </w:rPr>
        <w:t>故报 5–8×，不报单值。支持其可信的是两侧背景几乎相等——若连背景都对不上，增量相减就没有意义。</w:t>
      </w:r>
    </w:p>
    <w:p>
      <w:pPr>
        <w:pStyle w:val="Heading1"/>
      </w:pPr>
      <w:r>
        <w:rPr>
          <w:rFonts w:ascii="微软雅黑" w:hAnsi="微软雅黑" w:eastAsia="微软雅黑"/>
          <w:color w:val="1A1A1A"/>
        </w:rPr>
        <w:t>四、实施方式</w:t>
      </w:r>
    </w:p>
    <w:p>
      <w:r>
        <w:rPr>
          <w:rFonts w:ascii="微软雅黑" w:hAnsi="微软雅黑" w:eastAsia="微软雅黑"/>
          <w:b/>
          <w:i w:val="0"/>
          <w:sz w:val="21"/>
        </w:rPr>
        <w:t>1. 只改量级时不需要重跑 FLEXPART</w:t>
      </w:r>
    </w:p>
    <w:p>
      <w:r>
        <w:rPr>
          <w:rFonts w:ascii="微软雅黑" w:hAnsi="微软雅黑" w:eastAsia="微软雅黑"/>
          <w:b w:val="0"/>
          <w:i w:val="0"/>
          <w:sz w:val="21"/>
        </w:rPr>
        <w:t>FLEXPART 对释放质量严格线性（被动示踪物、一阶干湿沉降、无化学反应），按框乘常数等价于把该框输出浓度整体乘该常数，可在 analyze_source_contribution.py 中直接应用。</w:t>
      </w:r>
    </w:p>
    <w:p>
      <w:r>
        <w:rPr>
          <w:rFonts w:ascii="微软雅黑" w:hAnsi="微软雅黑" w:eastAsia="微软雅黑"/>
          <w:b w:val="0"/>
          <w:i w:val="0"/>
          <w:color w:val="B3261E"/>
          <w:sz w:val="21"/>
        </w:rPr>
        <w:t>⚠ 该等价性只在系数为常数时成立。若改成随时间或空间变化的系数，必须重跑。</w:t>
      </w:r>
    </w:p>
    <w:p>
      <w:r>
        <w:rPr>
          <w:rFonts w:ascii="微软雅黑" w:hAnsi="微软雅黑" w:eastAsia="微软雅黑"/>
          <w:b/>
          <w:i w:val="0"/>
          <w:sz w:val="21"/>
        </w:rPr>
        <w:t>2. 粒子数不要跟着涨</w:t>
      </w:r>
    </w:p>
    <w:p>
      <w:r>
        <w:rPr>
          <w:rFonts w:ascii="微软雅黑" w:hAnsi="微软雅黑" w:eastAsia="微软雅黑"/>
          <w:b w:val="0"/>
          <w:i w:val="0"/>
          <w:sz w:val="21"/>
        </w:rPr>
        <w:t>若在 build_flexwrf_input_v2.py 中烘进去，务必把 MASS_PER_PARTICLE 同步乘上相同倍数（NPART_FLOOR 一并下调），否则粒子数涨 2–7 倍、机时失控。「每个粒子多背质量」与「多放粒子」在浓度场上完全等价，但前者不花机时。</w:t>
      </w:r>
    </w:p>
    <w:p>
      <w:pPr>
        <w:pStyle w:val="Heading1"/>
      </w:pPr>
      <w:r>
        <w:rPr>
          <w:rFonts w:ascii="微软雅黑" w:hAnsi="微软雅黑" w:eastAsia="微软雅黑"/>
          <w:color w:val="1A1A1A"/>
        </w:rPr>
        <w:t>五、对受体结论的影响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未补偿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旧系数 2.2/2.0/2.3/4.3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本方案 7.0/1.7/2.5/4.3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兰州 TK 贡献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39.6%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39.9%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约 66%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兰州 System ①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64.4%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62.5%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约 75%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北京 TK 贡献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18.3%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15.2%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约 34%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北京 System ②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70.8%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76.5%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约 62%</w:t>
            </w:r>
          </w:p>
        </w:tc>
      </w:tr>
    </w:tbl>
    <w:p/>
    <w:p>
      <w:r>
        <w:rPr>
          <w:rFonts w:ascii="微软雅黑" w:hAnsi="微软雅黑" w:eastAsia="微软雅黑"/>
          <w:b/>
          <w:i w:val="0"/>
          <w:color w:val="B3261E"/>
          <w:sz w:val="21"/>
        </w:rPr>
        <w:t>这是量级上的结论变化，不是微调。采用前应确认 TK 的增量比口径能被接受。</w:t>
      </w:r>
    </w:p>
    <w:p>
      <w:pPr>
        <w:pStyle w:val="Heading1"/>
      </w:pPr>
      <w:r>
        <w:rPr>
          <w:rFonts w:ascii="微软雅黑" w:hAnsi="微软雅黑" w:eastAsia="微软雅黑"/>
          <w:color w:val="1A1A1A"/>
        </w:rPr>
        <w:t>六、必须写进论文的假设与局限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滞留时间无偏。柱负荷 = 排放 × 滞留时间，柱量标定只能约束这个乘积。拆开需要垂直廓线或沉降观测（CALIPSO 可部分验证，尚未完成）。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TK 增量法的过度修正风险。若 MERRA-2 的「背景期」里混进了它没分辨出的事件早期沙尘，扣背景会过度修正。TK 恰是 MERRA-2 时相最差的框（逐时相关 r = 0.21），此风险不能排除。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TH 的两法分歧未解决（地面 2.56 vs 柱 1.3–1.8）。取柱侧是判断不是证据，应报区间。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MG 无地面约束。框内 3 站全部落在 DUEM 零排放格点、距排放质心 627–1015 km，只「看到」该框 0.1% 的排放。现有系数全部来自柱量观测。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粒径口径。释放用 GOCART bin1+2+3（几何直径 ≤ 6 µm ≈ PM10 上限），而 DUSMASS / DUEXTTAU 是全 5 档——标定出的是「全档沙尘的低估倍数」，用到 bin1–3 上隐含假设各档低估倍数相同。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