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A1A1A"/>
        </w:rPr>
        <w:t>CALIOP 沙尘垂直结构验证</w:t>
      </w:r>
    </w:p>
    <w:p>
      <w:r>
        <w:rPr>
          <w:rFonts w:ascii="微软雅黑" w:hAnsi="微软雅黑" w:eastAsia="微软雅黑"/>
          <w:b w:val="0"/>
          <w:i/>
          <w:color w:val="6A6A66"/>
          <w:sz w:val="20"/>
        </w:rPr>
        <w:t>2023 年 3 月东亚沙尘个例 · 2026-07-23</w:t>
      </w:r>
    </w:p>
    <w:p/>
    <w:p>
      <w:pPr>
        <w:pStyle w:val="Heading1"/>
      </w:pPr>
      <w:r>
        <w:rPr>
          <w:rFonts w:ascii="微软雅黑" w:hAnsi="微软雅黑" w:eastAsia="微软雅黑"/>
          <w:color w:val="1A1A1A"/>
        </w:rPr>
        <w:t>一、为什么做这件事</w:t>
      </w:r>
    </w:p>
    <w:p>
      <w:r>
        <w:rPr>
          <w:rFonts w:ascii="微软雅黑" w:hAnsi="微软雅黑" w:eastAsia="微软雅黑"/>
          <w:b w:val="0"/>
          <w:i w:val="0"/>
          <w:sz w:val="21"/>
        </w:rPr>
        <w:t>柱负荷 = 排放 × 滞留时间。用 MODIS 柱 AOD 标定排放系数，只能约束这个**乘积**。若模式把沙尘堆在近地层，干沉降偏强、滞留时间偏短，柱量就会偏低——此时把柱量亏空全部算成排放不足是错的。CALIOP 是唯一能独立检验垂直结构、从而把这两者拆开的观测。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二、结论（三条）</w:t>
      </w:r>
    </w:p>
    <w:p>
      <w:r>
        <w:rPr>
          <w:rFonts w:ascii="微软雅黑" w:hAnsi="微软雅黑" w:eastAsia="微软雅黑"/>
          <w:b/>
          <w:i w:val="0"/>
          <w:color w:val="1E6B3A"/>
          <w:sz w:val="21"/>
        </w:rPr>
        <w:t>1. 垂直结构不影响量级结论，TK 3.2× / MG 3.0× 是干净的。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模式在整个模拟期只沉降掉了释放质量的 3.4%（见第四节）。沉降不是主要汇，滞留时间由平流出域决定。因此垂直分布怎么变，柱量几乎不动——「排放 × 滞留时间」这个简并在本个例中不存在。</w:t>
      </w:r>
    </w:p>
    <w:p>
      <w:r>
        <w:rPr>
          <w:rFonts w:ascii="微软雅黑" w:hAnsi="微软雅黑" w:eastAsia="微软雅黑"/>
          <w:b/>
          <w:i w:val="0"/>
          <w:sz w:val="21"/>
        </w:rPr>
        <w:t>2. TK 源区模式抬升不足，质心低 0.87 km。</w:t>
      </w:r>
    </w:p>
    <w:p>
      <w:r>
        <w:rPr>
          <w:rFonts w:ascii="微软雅黑" w:hAnsi="微软雅黑" w:eastAsia="微软雅黑"/>
          <w:b w:val="0"/>
          <w:i w:val="0"/>
          <w:sz w:val="21"/>
        </w:rPr>
        <w:t>5 次独立过境、537 层，逐次符号一致。这一条可以写进论文。它影响的是输送路径与源区垂直剖面，不是量级。</w:t>
      </w:r>
    </w:p>
    <w:p>
      <w:r>
        <w:rPr>
          <w:rFonts w:ascii="微软雅黑" w:hAnsi="微软雅黑" w:eastAsia="微软雅黑"/>
          <w:b/>
          <w:i w:val="0"/>
          <w:color w:val="B3261E"/>
          <w:sz w:val="21"/>
        </w:rPr>
        <w:t>3. 受体（兰州 / 北京）的垂直验证做不了。</w:t>
      </w:r>
    </w:p>
    <w:p>
      <w:r>
        <w:rPr>
          <w:rFonts w:ascii="微软雅黑" w:hAnsi="微软雅黑" w:eastAsia="微软雅黑"/>
          <w:b w:val="0"/>
          <w:i w:val="0"/>
          <w:sz w:val="21"/>
        </w:rPr>
        <w:t>CALIOP 一天两轨、幅宽约 70 m，5 天事件里北京只有 1 次有效过境（20 层）、兰州 2 次（25 层）。这是仪器的先天限制，应当明说，不能用池化数凑一个结论。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三、逐轨道时间匹配结果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80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pso_vs_flexpart_matc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A6A66"/>
          <w:sz w:val="19"/>
        </w:rPr>
        <w:t>图 1  CALIOP 与 FLEXPART 垂直结构对比（时间匹配版）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可用过境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观测质心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模拟质心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差（观−模）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537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1.75 km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0.88 km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+0.87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0.99 km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0.72 km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+0.27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兰州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1.34 km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1.14 km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+0.20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2.09 km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2.81 km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−0.72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配对规则：每条过境取模式最近输出时刻（|Δt| ≤ 1.5 h）。若该时刻模式柱量低于其自身时间序列的中位数，则排除——拿观测有沙尘去比模式没沙尘，量的是相位误差，不是垂直结构。17 条过境中 13 条可匹配，其中 10 条模式确有沙尘。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四、沉降收支（结论 1 的依据）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run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干沉降 (kg)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湿沉降 (kg)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末时空中 (kg)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f_dep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2.7e5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2.0e3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2.3e7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1.1%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TH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1.1e5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1.6e3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2.3e6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4.6%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1.4e5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1.6e3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4.5e6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3.1%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1.3e5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4.4e2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3.6e6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3.4%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中位 f_dep = 3.4%，且这是上限——飞出计算域的质量未计入分母。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推论：把近地层占比按观测调低后，干沉降随之减弱，但柱量只增加 1–3%。即修正垂直结构**不能**补回柱量亏空。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五、观测侧的原始证据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65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pso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6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A6A66"/>
          <w:sz w:val="19"/>
        </w:rPr>
        <w:t>图 2  CALIOP 观测的沙尘层几何与质量控制</w:t>
      </w:r>
    </w:p>
    <w:p>
      <w:r>
        <w:rPr>
          <w:rFonts w:ascii="微软雅黑" w:hAnsi="微软雅黑" w:eastAsia="微软雅黑"/>
          <w:b w:val="0"/>
          <w:i w:val="0"/>
          <w:sz w:val="20"/>
        </w:rPr>
        <w:t>(a) 过境覆盖与层顶高度；(b) 各区沙尘层的垂直包络；(c) 层厚分布；(d) 衰减混淆检验。</w:t>
      </w:r>
    </w:p>
    <w:p>
      <w:r>
        <w:rPr>
          <w:rFonts w:ascii="微软雅黑" w:hAnsi="微软雅黑" w:eastAsia="微软雅黑"/>
          <w:b w:val="0"/>
          <w:i w:val="0"/>
          <w:sz w:val="20"/>
        </w:rPr>
        <w:t>判据：Feature_Classification_Flags 取气溶胶且子类型为 dust(2) 或 polluted dust(5)，CAD Score ≤ −20；高度减 DEM_Surface_Elevation 换算成距地高度（源区地面 1–1.5 km，不换算则与华北不可比）。共 1493 条合格层。</w:t>
      </w:r>
    </w:p>
    <w:p>
      <w:r>
        <w:rPr>
          <w:rFonts w:ascii="微软雅黑" w:hAnsi="微软雅黑" w:eastAsia="微软雅黑"/>
          <w:b/>
          <w:i w:val="0"/>
          <w:sz w:val="21"/>
        </w:rPr>
        <w:t>衰减混淆已排除。</w:t>
      </w:r>
    </w:p>
    <w:p>
      <w:r>
        <w:rPr>
          <w:rFonts w:ascii="微软雅黑" w:hAnsi="微软雅黑" w:eastAsia="微软雅黑"/>
          <w:b w:val="0"/>
          <w:i w:val="0"/>
          <w:sz w:val="20"/>
        </w:rPr>
        <w:t>稠密沙尘会使 532 nm 激光在触地前衰减完，CALIOP 会把层底报高。检验结果：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不透明层占比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地面未探测占比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层底中位（全集 → 干净子集）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0.1%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0.91 → 0.89 km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0.0%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0.17 → 0.17 km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兰州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0.0%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16.0%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0.07 → 0.07 km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1.2%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26.5%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2.77 → 2.68 km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TK 几乎没有不透明层，激光全部触地，抬升的层底是真实的。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六、局限（必须写进论文）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正向 run 用的是旧 WRF，与 CALIOP 过境不是同一团气。时间匹配已把最坏的情形（模式无沙尘）排除，但相位残差仍在。新的完整 WRF 跑完后应重做。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观测侧是消光占比、模式侧是质量占比，二者只在消光效率随高度不变时等价。大粒子先沉降使高层单位质量消光效率更高，故观测对高层略有高估——这个方向使「模式偏低」的结论更保守，不会造出假阳性。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0–100 m 档是 CALIOP 最不可靠的一档（地表回波污染），单独使用该档会得到过于极端的比值，故所有推论均以 &lt;500 m 或质心为准。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MG 仅 2 次可用过境且两次符号相反（+0.50 / −0.96），其 +0.27 的均值无意义。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CONC 单位为 ppt by mass（IND_RECEPTOR=2），是混合比而非浓度，已按标准大气密度换算为质量后再做占比。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七、与前一版结论的差异</w:t>
      </w:r>
    </w:p>
    <w:p>
      <w:r>
        <w:rPr>
          <w:rFonts w:ascii="微软雅黑" w:hAnsi="微软雅黑" w:eastAsia="微软雅黑"/>
          <w:b/>
          <w:i w:val="0"/>
          <w:sz w:val="21"/>
        </w:rPr>
        <w:t>本文件取代此前基于**池化**（不做时间匹配）的分析。差异如下：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池化版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时间匹配版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 模式偏低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+0.84 km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+0.87 km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一致，成立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北京垂直结构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「几乎完美」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 1 次过境，符号相反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作废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修正后近地浓度降到 60%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依据已作废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撤回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柱量几乎不变（沉降 3%）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成立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不依赖 CALIOP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池化版把 1493 层不分时刻堆在一起。检查发现 MG / 兰州 / 北京在各自窗口内一条层都没有，北京 95% 的层来自比受体窗口早 16 h 的一条轨道——那是拿事件前的观测比事件期的模拟。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