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1A1A1A"/>
        </w:rPr>
        <w:t>Response to Reviewers</w:t>
      </w:r>
    </w:p>
    <w:p>
      <w:r>
        <w:rPr>
          <w:rFonts w:ascii="Times New Roman" w:hAnsi="Times New Roman"/>
          <w:b w:val="0"/>
          <w:i/>
          <w:color w:val="6A6A66"/>
          <w:sz w:val="22"/>
        </w:rPr>
        <w:t>Manuscript atmosphere-4373208</w:t>
      </w:r>
    </w:p>
    <w:p>
      <w:r>
        <w:rPr>
          <w:rFonts w:ascii="Times New Roman" w:hAnsi="Times New Roman"/>
          <w:b w:val="0"/>
          <w:i/>
          <w:color w:val="6A6A66"/>
          <w:sz w:val="22"/>
        </w:rPr>
        <w:t>Dual-Source Transport, Vertical Evolution, and Topographic Modulation of the March 2023 East Asian Dust Storm in the Context of 2000–2024 Spring Dust Variability</w:t>
      </w:r>
    </w:p>
    <w:p/>
    <w:p>
      <w:r>
        <w:rPr>
          <w:rFonts w:ascii="Times New Roman" w:hAnsi="Times New Roman"/>
          <w:b w:val="0"/>
          <w:i w:val="0"/>
          <w:sz w:val="22"/>
        </w:rPr>
        <w:t>We thank the Editor and the three Reviewers for their careful and constructive evaluation of our manuscript. In response, we have substantially reworked the source-attribution methodology (replacing single-trajectory illustrations with trajectory-frequency and PSCF/CWT analyses), rerun the WRF simulation with analysis nudging to correct a frontal-phase timing error, and added new quantitative analyses of terrain modulation, vertical dust structure (CALIOP), and satellite-based emission-timing validation. Point-by-point responses follow below; changes in the manuscript are highlighted in the resubmitted file.</w:t>
      </w:r>
    </w:p>
    <w:p/>
    <w:p>
      <w:pPr>
        <w:pStyle w:val="Heading1"/>
      </w:pPr>
      <w:r>
        <w:rPr>
          <w:rFonts w:ascii="Times New Roman" w:hAnsi="Times New Roman"/>
          <w:color w:val="1A1A1A"/>
        </w:rPr>
        <w:t>Reviewer 1</w:t>
      </w:r>
    </w:p>
    <w:p>
      <w:r>
        <w:rPr>
          <w:rFonts w:ascii="Times New Roman" w:hAnsi="Times New Roman"/>
          <w:b/>
          <w:i w:val="0"/>
          <w:sz w:val="23"/>
        </w:rPr>
        <w:t>Comment R1-1  (Major — quantitative source contribution)</w:t>
      </w:r>
    </w:p>
    <w:p>
      <w:pPr>
        <w:ind w:left="227"/>
      </w:pPr>
      <w:r>
        <w:rPr>
          <w:rFonts w:ascii="Times New Roman" w:hAnsi="Times New Roman"/>
          <w:b w:val="0"/>
          <w:i/>
          <w:color w:val="333333"/>
          <w:sz w:val="22"/>
        </w:rPr>
        <w:t>Comment: The trajectory analysis mainly demonstrates transport pathways and trajectory consistency rather than quantitative source contributions. Please provide quantitative source contribution analysis (contribution percentages, sensitivity simulations, residence time analysis, PSCF/CWT) or revise the wording accordingly.</w:t>
      </w:r>
    </w:p>
    <w:p>
      <w:pPr>
        <w:ind w:left="227"/>
      </w:pPr>
      <w:r>
        <w:rPr>
          <w:rFonts w:ascii="Times New Roman" w:hAnsi="Times New Roman"/>
          <w:b/>
          <w:i w:val="0"/>
          <w:color w:val="1B3A6B"/>
          <w:sz w:val="22"/>
        </w:rPr>
        <w:t>Response:</w:t>
      </w:r>
    </w:p>
    <w:p>
      <w:pPr>
        <w:ind w:left="227"/>
      </w:pPr>
      <w:r>
        <w:rPr>
          <w:rFonts w:ascii="Times New Roman" w:hAnsi="Times New Roman"/>
          <w:b w:val="0"/>
          <w:i w:val="0"/>
          <w:sz w:val="22"/>
        </w:rPr>
        <w:t>We agree, and this comment — raised independently by Reviewer 3 as well — prompted the most substantial revision in this round. We have replaced the single illustrative trajectories with (i) forward trajectory-frequency fields computed at 1-hour release steps over the full emission period for each source region, (ii) backward trajectory-frequency (footprint) fields for both receptors, (iii) PSCF and CWT source-contribution maps, and (iv) an explicit residence-time analysis quantifying how long dust remains resident in each source region before export. Quantitative contribution percentages are now reported for both receptors under multiple sensitivity configurations (inventory-weighted vs. satellite-calibrated release, alternative release heights and particle sizes), rather than inferred qualitatively from single trajectories. The relevant figures and tables have been added to the revised manuscript and Supplement.</w:t>
      </w:r>
    </w:p>
    <w:p/>
    <w:p>
      <w:r>
        <w:rPr>
          <w:rFonts w:ascii="Times New Roman" w:hAnsi="Times New Roman"/>
          <w:b/>
          <w:i w:val="0"/>
          <w:sz w:val="23"/>
        </w:rPr>
        <w:t>Comment R1-2  (Terrain barrier/channel effect)</w:t>
      </w:r>
    </w:p>
    <w:p>
      <w:pPr>
        <w:ind w:left="227"/>
      </w:pPr>
      <w:r>
        <w:rPr>
          <w:rFonts w:ascii="Times New Roman" w:hAnsi="Times New Roman"/>
          <w:b w:val="0"/>
          <w:i/>
          <w:color w:val="333333"/>
          <w:sz w:val="22"/>
        </w:rPr>
        <w:t>Comment: The role of topography as a barrier or channel for dust transport is described qualitatively but lacks quantitative support.</w:t>
      </w:r>
    </w:p>
    <w:p>
      <w:pPr>
        <w:ind w:left="227"/>
      </w:pPr>
      <w:r>
        <w:rPr>
          <w:rFonts w:ascii="Times New Roman" w:hAnsi="Times New Roman"/>
          <w:b/>
          <w:i w:val="0"/>
          <w:color w:val="1B3A6B"/>
          <w:sz w:val="22"/>
        </w:rPr>
        <w:t>Response:</w:t>
      </w:r>
    </w:p>
    <w:p>
      <w:pPr>
        <w:ind w:left="227"/>
      </w:pPr>
      <w:r>
        <w:rPr>
          <w:rFonts w:ascii="Times New Roman" w:hAnsi="Times New Roman"/>
          <w:b w:val="0"/>
          <w:i w:val="0"/>
          <w:sz w:val="22"/>
        </w:rPr>
        <w:t>We have added a quantitative diagnosis of the Hexi Corridor channeling effect: along-corridor station-by-station PM10 peak concentrations and their segment-wise decay/amplification rates (per 100 km), together with WRF vertical-velocity cross-sections and low-level wind-convergence fields across the corridor and its surrounding terrain. The concentration record shows that, within the topographically narrow corridor core, PM10 does not decay with distance as passive advection would predict — it locally amplifies twice — and sharp decay resumes only after the plume exits into the open Lanzhou basin. This two-regime structure, together with the convergence/vertical-velocity fields, is now presented as direct quantitative evidence of active terrain modulation rather than passive transport, replacing the qualitative description in the original submission.</w:t>
      </w:r>
    </w:p>
    <w:p/>
    <w:p>
      <w:r>
        <w:rPr>
          <w:rFonts w:ascii="Times New Roman" w:hAnsi="Times New Roman"/>
          <w:b/>
          <w:i w:val="0"/>
          <w:sz w:val="23"/>
        </w:rPr>
        <w:t>Comment R1-3  (AAI &gt; 0.5 threshold)</w:t>
      </w:r>
    </w:p>
    <w:p>
      <w:pPr>
        <w:ind w:left="227"/>
      </w:pPr>
      <w:r>
        <w:rPr>
          <w:rFonts w:ascii="Times New Roman" w:hAnsi="Times New Roman"/>
          <w:b w:val="0"/>
          <w:i/>
          <w:color w:val="333333"/>
          <w:sz w:val="22"/>
        </w:rPr>
        <w:t>Comment: The threshold of AAI &gt; 0.5 used to identify dust-affected pixels is not justified.</w:t>
      </w:r>
    </w:p>
    <w:p>
      <w:pPr>
        <w:ind w:left="227"/>
      </w:pPr>
      <w:r>
        <w:rPr>
          <w:rFonts w:ascii="Times New Roman" w:hAnsi="Times New Roman"/>
          <w:b/>
          <w:i w:val="0"/>
          <w:color w:val="1B3A6B"/>
          <w:sz w:val="22"/>
        </w:rPr>
        <w:t>Response:</w:t>
      </w:r>
    </w:p>
    <w:p>
      <w:pPr>
        <w:ind w:left="227"/>
      </w:pPr>
      <w:r>
        <w:rPr>
          <w:rFonts w:ascii="Times New Roman" w:hAnsi="Times New Roman"/>
          <w:b w:val="0"/>
          <w:i w:val="0"/>
          <w:color w:val="B3261E"/>
          <w:sz w:val="22"/>
        </w:rPr>
        <w:t>⚠ [NEEDS AUTHOR INPUT — placeholder response below; please confirm before submission] We have added supporting literature for this threshold and, in addition, tested the sensitivity of the identified dust extent and timing to thresholds of 0.3, 0.5, and 0.7; the qualitative conclusions are unchanged across this range and the corresponding results are reported in the Supplement.</w:t>
      </w:r>
    </w:p>
    <w:p/>
    <w:p>
      <w:r>
        <w:rPr>
          <w:rFonts w:ascii="Times New Roman" w:hAnsi="Times New Roman"/>
          <w:b/>
          <w:i w:val="0"/>
          <w:sz w:val="23"/>
        </w:rPr>
        <w:t>Comment R1-4  (PM10 comparison statistics)</w:t>
      </w:r>
    </w:p>
    <w:p>
      <w:pPr>
        <w:ind w:left="227"/>
      </w:pPr>
      <w:r>
        <w:rPr>
          <w:rFonts w:ascii="Times New Roman" w:hAnsi="Times New Roman"/>
          <w:b w:val="0"/>
          <w:i/>
          <w:color w:val="333333"/>
          <w:sz w:val="22"/>
        </w:rPr>
        <w:t>Comment: The comparison between simulated and observed PM10 would benefit from standard statistical metrics.</w:t>
      </w:r>
    </w:p>
    <w:p>
      <w:pPr>
        <w:ind w:left="227"/>
      </w:pPr>
      <w:r>
        <w:rPr>
          <w:rFonts w:ascii="Times New Roman" w:hAnsi="Times New Roman"/>
          <w:b/>
          <w:i w:val="0"/>
          <w:color w:val="1B3A6B"/>
          <w:sz w:val="22"/>
        </w:rPr>
        <w:t>Response:</w:t>
      </w:r>
    </w:p>
    <w:p>
      <w:pPr>
        <w:ind w:left="227"/>
      </w:pPr>
      <w:r>
        <w:rPr>
          <w:rFonts w:ascii="Times New Roman" w:hAnsi="Times New Roman"/>
          <w:b w:val="0"/>
          <w:i w:val="0"/>
          <w:sz w:val="22"/>
        </w:rPr>
        <w:t>We have added correlation coefficients, mean bias, and RMSE for the simulated-vs-observed PM10 comparison at both receptors, computed from the corrected (nudged) simulation, and report these alongside the time-series comparison figures.</w:t>
      </w:r>
    </w:p>
    <w:p/>
    <w:p>
      <w:pPr>
        <w:pStyle w:val="Heading1"/>
      </w:pPr>
      <w:r>
        <w:rPr>
          <w:rFonts w:ascii="Times New Roman" w:hAnsi="Times New Roman"/>
          <w:color w:val="1A1A1A"/>
        </w:rPr>
        <w:t>Reviewer 2</w:t>
      </w:r>
    </w:p>
    <w:p>
      <w:r>
        <w:rPr>
          <w:rFonts w:ascii="Times New Roman" w:hAnsi="Times New Roman"/>
          <w:b/>
          <w:i w:val="0"/>
          <w:sz w:val="23"/>
        </w:rPr>
        <w:t>Comment R2-1  (Minor — possible typo, p.5 §162)</w:t>
      </w:r>
    </w:p>
    <w:p>
      <w:pPr>
        <w:ind w:left="227"/>
      </w:pPr>
      <w:r>
        <w:rPr>
          <w:rFonts w:ascii="Times New Roman" w:hAnsi="Times New Roman"/>
          <w:b w:val="0"/>
          <w:i/>
          <w:color w:val="333333"/>
          <w:sz w:val="22"/>
        </w:rPr>
        <w:t>Comment: The text refers to "859 hPa", whereas the rest of the manuscript consistently uses "700 hPa". Please check for a typographical error.</w:t>
      </w:r>
    </w:p>
    <w:p>
      <w:pPr>
        <w:ind w:left="227"/>
      </w:pPr>
      <w:r>
        <w:rPr>
          <w:rFonts w:ascii="Times New Roman" w:hAnsi="Times New Roman"/>
          <w:b/>
          <w:i w:val="0"/>
          <w:color w:val="1B3A6B"/>
          <w:sz w:val="22"/>
        </w:rPr>
        <w:t>Response:</w:t>
      </w:r>
    </w:p>
    <w:p>
      <w:pPr>
        <w:ind w:left="227"/>
      </w:pPr>
      <w:r>
        <w:rPr>
          <w:rFonts w:ascii="Times New Roman" w:hAnsi="Times New Roman"/>
          <w:b w:val="0"/>
          <w:i w:val="0"/>
          <w:color w:val="B3261E"/>
          <w:sz w:val="22"/>
        </w:rPr>
        <w:t>⚠ [NEEDS AUTHOR VERIFICATION] Thank you for catching this. We have gone back to the original analysis to confirm the intended pressure level before correcting the text, rather than assuming it should read "700 hPa"; the manuscript has been corrected to the verified value throughout.</w:t>
      </w:r>
    </w:p>
    <w:p/>
    <w:p>
      <w:pPr>
        <w:pStyle w:val="Heading1"/>
      </w:pPr>
      <w:r>
        <w:rPr>
          <w:rFonts w:ascii="Times New Roman" w:hAnsi="Times New Roman"/>
          <w:color w:val="1A1A1A"/>
        </w:rPr>
        <w:t>Reviewer 3</w:t>
      </w:r>
    </w:p>
    <w:p>
      <w:r>
        <w:rPr>
          <w:rFonts w:ascii="Times New Roman" w:hAnsi="Times New Roman"/>
          <w:b/>
          <w:i w:val="0"/>
          <w:sz w:val="24"/>
        </w:rPr>
        <w:t>Major comments</w:t>
      </w:r>
    </w:p>
    <w:p>
      <w:r>
        <w:rPr>
          <w:rFonts w:ascii="Times New Roman" w:hAnsi="Times New Roman"/>
          <w:b/>
          <w:i w:val="0"/>
          <w:sz w:val="23"/>
        </w:rPr>
        <w:t>Comment R3-Major-2  (Single-trajectory analysis)</w:t>
      </w:r>
    </w:p>
    <w:p>
      <w:pPr>
        <w:ind w:left="227"/>
      </w:pPr>
      <w:r>
        <w:rPr>
          <w:rFonts w:ascii="Times New Roman" w:hAnsi="Times New Roman"/>
          <w:b w:val="0"/>
          <w:i/>
          <w:color w:val="333333"/>
          <w:sz w:val="22"/>
        </w:rPr>
        <w:t>Comment: A single back- or forward trajectory is pointless, as trajectories are highly variable. For each potential source region, arrays of forward trajectories launched during the dust emission period must be calculated with a step of, e.g., 1 hour, and spatial distributions of back- and forward trajectory frequencies should be computed and shown.</w:t>
      </w:r>
    </w:p>
    <w:p>
      <w:pPr>
        <w:ind w:left="227"/>
      </w:pPr>
      <w:r>
        <w:rPr>
          <w:rFonts w:ascii="Times New Roman" w:hAnsi="Times New Roman"/>
          <w:b/>
          <w:i w:val="0"/>
          <w:color w:val="1B3A6B"/>
          <w:sz w:val="22"/>
        </w:rPr>
        <w:t>Response:</w:t>
      </w:r>
    </w:p>
    <w:p>
      <w:pPr>
        <w:ind w:left="227"/>
      </w:pPr>
      <w:r>
        <w:rPr>
          <w:rFonts w:ascii="Times New Roman" w:hAnsi="Times New Roman"/>
          <w:b w:val="0"/>
          <w:i w:val="0"/>
          <w:sz w:val="22"/>
        </w:rPr>
        <w:t>We thank the Reviewer for this precise and actionable guidance, which we have followed directly. Forward trajectories are now launched at 1-hour steps throughout the full emission window of each source region (rather than a single illustrative release), and we present the resulting spatial distributions of forward trajectory frequency for each source, together with backward trajectory-frequency (footprint) fields for both receptors. The previous single-trajectory figures (former Figs. 8, 9, 18, 19) have been removed from the main text; as suggested, the dispersion/footprint figures (former Figs. 6, 7) now carry the source-receptor attribution, supplemented by the new frequency-field and PSCF/CWT figures.</w:t>
      </w:r>
    </w:p>
    <w:p/>
    <w:p>
      <w:r>
        <w:rPr>
          <w:rFonts w:ascii="Times New Roman" w:hAnsi="Times New Roman"/>
          <w:b/>
          <w:i w:val="0"/>
          <w:sz w:val="23"/>
        </w:rPr>
        <w:t>Comment R3-Major (internal contradiction — transport duration)</w:t>
      </w:r>
    </w:p>
    <w:p>
      <w:pPr>
        <w:ind w:left="227"/>
      </w:pPr>
      <w:r>
        <w:rPr>
          <w:rFonts w:ascii="Times New Roman" w:hAnsi="Times New Roman"/>
          <w:b w:val="0"/>
          <w:i/>
          <w:color w:val="333333"/>
          <w:sz w:val="22"/>
        </w:rPr>
        <w:t>Comment: The trajectory analysis implies a transport time of roughly 6 days (~150 h), whereas Figures 5–7 and the CALIPSO analysis indicate a transport time of only 2–3 days.</w:t>
      </w:r>
    </w:p>
    <w:p>
      <w:pPr>
        <w:ind w:left="227"/>
      </w:pPr>
      <w:r>
        <w:rPr>
          <w:rFonts w:ascii="Times New Roman" w:hAnsi="Times New Roman"/>
          <w:b/>
          <w:i w:val="0"/>
          <w:color w:val="1B3A6B"/>
          <w:sz w:val="22"/>
        </w:rPr>
        <w:t>Response:</w:t>
      </w:r>
    </w:p>
    <w:p>
      <w:pPr>
        <w:ind w:left="227"/>
      </w:pPr>
      <w:r>
        <w:rPr>
          <w:rFonts w:ascii="Times New Roman" w:hAnsi="Times New Roman"/>
          <w:b w:val="0"/>
          <w:i w:val="0"/>
          <w:sz w:val="22"/>
        </w:rPr>
        <w:t>This discrepancy was a direct artifact of the single-trajectory analysis criticized above: an unrepresentative individual trajectory produced a spuriously long apparent transport time. With the single trajectories replaced by frequency-field and footprint analyses (R3-Major-2), the transport timescale implied by the source-attribution analysis is now consistent with Figures 5–7 and the CALIPSO-based vertical-structure analysis (2–3 days); we have removed the inconsistent statement from the text.</w:t>
      </w:r>
    </w:p>
    <w:p/>
    <w:p>
      <w:r>
        <w:rPr>
          <w:rFonts w:ascii="Times New Roman" w:hAnsi="Times New Roman"/>
          <w:b/>
          <w:i w:val="0"/>
          <w:sz w:val="23"/>
        </w:rPr>
        <w:t>Comment R3-Major (backward trajectory path vs. text description)</w:t>
      </w:r>
    </w:p>
    <w:p>
      <w:pPr>
        <w:ind w:left="227"/>
      </w:pPr>
      <w:r>
        <w:rPr>
          <w:rFonts w:ascii="Times New Roman" w:hAnsi="Times New Roman"/>
          <w:b w:val="0"/>
          <w:i/>
          <w:color w:val="333333"/>
          <w:sz w:val="22"/>
        </w:rPr>
        <w:t>Comment: The manuscript states that backward trajectories passed north of TK, but this does not appear to match the trajectories shown in the corresponding figure.</w:t>
      </w:r>
    </w:p>
    <w:p>
      <w:pPr>
        <w:ind w:left="227"/>
      </w:pPr>
      <w:r>
        <w:rPr>
          <w:rFonts w:ascii="Times New Roman" w:hAnsi="Times New Roman"/>
          <w:b/>
          <w:i w:val="0"/>
          <w:color w:val="1B3A6B"/>
          <w:sz w:val="22"/>
        </w:rPr>
        <w:t>Response:</w:t>
      </w:r>
    </w:p>
    <w:p>
      <w:pPr>
        <w:ind w:left="227"/>
      </w:pPr>
      <w:r>
        <w:rPr>
          <w:rFonts w:ascii="Times New Roman" w:hAnsi="Times New Roman"/>
          <w:b w:val="0"/>
          <w:i w:val="0"/>
          <w:color w:val="B3261E"/>
          <w:sz w:val="22"/>
        </w:rPr>
        <w:t>⚠ [NEEDS AUTHOR VERIFICATION against the actual figure] We have re-examined the backward footprint fields against the text and corrected the description to match the actual simulated pathway; the revised figure and text are now mutually consistent.</w:t>
      </w:r>
    </w:p>
    <w:p/>
    <w:p>
      <w:r>
        <w:rPr>
          <w:rFonts w:ascii="Times New Roman" w:hAnsi="Times New Roman"/>
          <w:b/>
          <w:i w:val="0"/>
          <w:sz w:val="24"/>
        </w:rPr>
        <w:t>Methods — undefined terms</w:t>
      </w:r>
    </w:p>
    <w:p>
      <w:r>
        <w:rPr>
          <w:rFonts w:ascii="Times New Roman" w:hAnsi="Times New Roman"/>
          <w:b/>
          <w:i w:val="0"/>
          <w:sz w:val="23"/>
        </w:rPr>
        <w:t>Comment R3 (line 171, 202 — random forest / permutation importance)</w:t>
      </w:r>
    </w:p>
    <w:p>
      <w:pPr>
        <w:ind w:left="227"/>
      </w:pPr>
      <w:r>
        <w:rPr>
          <w:rFonts w:ascii="Times New Roman" w:hAnsi="Times New Roman"/>
          <w:b w:val="0"/>
          <w:i/>
          <w:color w:val="333333"/>
          <w:sz w:val="22"/>
        </w:rPr>
        <w:t>Comment: The manuscript refers to a "random forest classifier" and "random forest permutation importance" without describing the method.</w:t>
      </w:r>
    </w:p>
    <w:p>
      <w:pPr>
        <w:ind w:left="227"/>
      </w:pPr>
      <w:r>
        <w:rPr>
          <w:rFonts w:ascii="Times New Roman" w:hAnsi="Times New Roman"/>
          <w:b/>
          <w:i w:val="0"/>
          <w:color w:val="1B3A6B"/>
          <w:sz w:val="22"/>
        </w:rPr>
        <w:t>Response:</w:t>
      </w:r>
    </w:p>
    <w:p>
      <w:pPr>
        <w:ind w:left="227"/>
      </w:pPr>
      <w:r>
        <w:rPr>
          <w:rFonts w:ascii="Times New Roman" w:hAnsi="Times New Roman"/>
          <w:b w:val="0"/>
          <w:i w:val="0"/>
          <w:color w:val="B3261E"/>
          <w:sz w:val="22"/>
        </w:rPr>
        <w:t>⚠ [NEEDS METHOD TEXT FROM AUTHOR] We have added a description of the random forest classification and permutation-importance procedure (predictors, training/validation split, and the importance metric used) to the Materials and Methods section.</w:t>
      </w:r>
    </w:p>
    <w:p/>
    <w:p>
      <w:r>
        <w:rPr>
          <w:rFonts w:ascii="Times New Roman" w:hAnsi="Times New Roman"/>
          <w:b/>
          <w:i w:val="0"/>
          <w:sz w:val="23"/>
        </w:rPr>
        <w:t>Comment R3 (line 186 — "consistency test")</w:t>
      </w:r>
    </w:p>
    <w:p>
      <w:pPr>
        <w:ind w:left="227"/>
      </w:pPr>
      <w:r>
        <w:rPr>
          <w:rFonts w:ascii="Times New Roman" w:hAnsi="Times New Roman"/>
          <w:b w:val="0"/>
          <w:i/>
          <w:color w:val="333333"/>
          <w:sz w:val="22"/>
        </w:rPr>
        <w:t>Comment: The term "consistency test" is used without definition.</w:t>
      </w:r>
    </w:p>
    <w:p>
      <w:pPr>
        <w:ind w:left="227"/>
      </w:pPr>
      <w:r>
        <w:rPr>
          <w:rFonts w:ascii="Times New Roman" w:hAnsi="Times New Roman"/>
          <w:b/>
          <w:i w:val="0"/>
          <w:color w:val="1B3A6B"/>
          <w:sz w:val="22"/>
        </w:rPr>
        <w:t>Response:</w:t>
      </w:r>
    </w:p>
    <w:p>
      <w:pPr>
        <w:ind w:left="227"/>
      </w:pPr>
      <w:r>
        <w:rPr>
          <w:rFonts w:ascii="Times New Roman" w:hAnsi="Times New Roman"/>
          <w:b w:val="0"/>
          <w:i w:val="0"/>
          <w:color w:val="B3261E"/>
          <w:sz w:val="22"/>
        </w:rPr>
        <w:t>⚠ [NEEDS METHOD TEXT FROM AUTHOR] We have defined this test explicitly in the Materials and Methods section.</w:t>
      </w:r>
    </w:p>
    <w:p/>
    <w:p>
      <w:r>
        <w:rPr>
          <w:rFonts w:ascii="Times New Roman" w:hAnsi="Times New Roman"/>
          <w:b/>
          <w:i w:val="0"/>
          <w:sz w:val="24"/>
        </w:rPr>
        <w:t>Potential scientific inconsistencies</w:t>
      </w:r>
    </w:p>
    <w:p>
      <w:r>
        <w:rPr>
          <w:rFonts w:ascii="Times New Roman" w:hAnsi="Times New Roman"/>
          <w:b/>
          <w:i w:val="0"/>
          <w:sz w:val="23"/>
        </w:rPr>
        <w:t>Comment R3 (lines 227–229 — circulation type over TK)</w:t>
      </w:r>
    </w:p>
    <w:p>
      <w:pPr>
        <w:ind w:left="227"/>
      </w:pPr>
      <w:r>
        <w:rPr>
          <w:rFonts w:ascii="Times New Roman" w:hAnsi="Times New Roman"/>
          <w:b w:val="0"/>
          <w:i/>
          <w:color w:val="333333"/>
          <w:sz w:val="22"/>
        </w:rPr>
        <w:t>Comment: The manuscript describes a high-pressure system (HP) over TK with an eastward propagating cold front, but Figure 2 appears to show cyclonic (counterclockwise) circulation, which is usually associated with a low-pressure/cyclonic system rather than a high. If this is the southern flank of a high, the flow should be predominantly westerly and would not explain the eastward propagation of the cold front.</w:t>
      </w:r>
    </w:p>
    <w:p>
      <w:pPr>
        <w:ind w:left="227"/>
      </w:pPr>
      <w:r>
        <w:rPr>
          <w:rFonts w:ascii="Times New Roman" w:hAnsi="Times New Roman"/>
          <w:b/>
          <w:i w:val="0"/>
          <w:color w:val="1B3A6B"/>
          <w:sz w:val="22"/>
        </w:rPr>
        <w:t>Response:</w:t>
      </w:r>
    </w:p>
    <w:p>
      <w:pPr>
        <w:ind w:left="227"/>
      </w:pPr>
      <w:r>
        <w:rPr>
          <w:rFonts w:ascii="Times New Roman" w:hAnsi="Times New Roman"/>
          <w:b w:val="0"/>
          <w:i w:val="0"/>
          <w:color w:val="B3261E"/>
          <w:sz w:val="22"/>
        </w:rPr>
        <w:t>⚠ [NEEDS AUTHOR VERIFICATION against Figure 2] We have re-examined the circulation field in Figure 2 and revised the text to correctly describe the system as [cyclonic / high-pressure — to be confirmed against the actual field] and its relationship to the eastward-propagating front.</w:t>
      </w:r>
    </w:p>
    <w:p/>
    <w:p>
      <w:r>
        <w:rPr>
          <w:rFonts w:ascii="Times New Roman" w:hAnsi="Times New Roman"/>
          <w:b/>
          <w:i w:val="0"/>
          <w:sz w:val="23"/>
        </w:rPr>
        <w:t>Comment R3 (lines 218–219, 241–242 — jet stream)</w:t>
      </w:r>
    </w:p>
    <w:p>
      <w:pPr>
        <w:ind w:left="227"/>
      </w:pPr>
      <w:r>
        <w:rPr>
          <w:rFonts w:ascii="Times New Roman" w:hAnsi="Times New Roman"/>
          <w:b w:val="0"/>
          <w:i/>
          <w:color w:val="333333"/>
          <w:sz w:val="22"/>
        </w:rPr>
        <w:t>Comment: The manuscript attributes aspects of the dust event to a "low jet stream" without supporting wind-speed data; jet-stream impacts are sometimes invoked without adequate quantitative support.</w:t>
      </w:r>
    </w:p>
    <w:p>
      <w:pPr>
        <w:ind w:left="227"/>
      </w:pPr>
      <w:r>
        <w:rPr>
          <w:rFonts w:ascii="Times New Roman" w:hAnsi="Times New Roman"/>
          <w:b/>
          <w:i w:val="0"/>
          <w:color w:val="1B3A6B"/>
          <w:sz w:val="22"/>
        </w:rPr>
        <w:t>Response:</w:t>
      </w:r>
    </w:p>
    <w:p>
      <w:pPr>
        <w:ind w:left="227"/>
      </w:pPr>
      <w:r>
        <w:rPr>
          <w:rFonts w:ascii="Times New Roman" w:hAnsi="Times New Roman"/>
          <w:b w:val="0"/>
          <w:i w:val="0"/>
          <w:color w:val="B3261E"/>
          <w:sz w:val="22"/>
        </w:rPr>
        <w:t>⚠ [NEEDS WIND-SPEED DATA FROM AUTHOR] We have added the corresponding wind-speed magnitudes at the relevant level(s) to substantiate this attribution, or removed/softened the jet-stream language where the wind speeds do not clearly support it.</w:t>
      </w:r>
    </w:p>
    <w:p/>
    <w:p>
      <w:r>
        <w:rPr>
          <w:rFonts w:ascii="Times New Roman" w:hAnsi="Times New Roman"/>
          <w:b/>
          <w:i w:val="0"/>
          <w:sz w:val="23"/>
        </w:rPr>
        <w:t>Comment R3 (lines 182–185 vs. 425 — NDVI–DUCMASS relationship)</w:t>
      </w:r>
    </w:p>
    <w:p>
      <w:pPr>
        <w:ind w:left="227"/>
      </w:pPr>
      <w:r>
        <w:rPr>
          <w:rFonts w:ascii="Times New Roman" w:hAnsi="Times New Roman"/>
          <w:b w:val="0"/>
          <w:i/>
          <w:color w:val="333333"/>
          <w:sz w:val="22"/>
        </w:rPr>
        <w:t>Comment: The described relationship between NDVI and DUCMASS is inconsistent between two parts of the manuscript: one passage implies a strong positive correlation (questioning why increased vegetation would not suppress dust emission), while another states that, per Figure 2, NDVI and DUCMASS should be positively — not negatively — correlated.</w:t>
      </w:r>
    </w:p>
    <w:p>
      <w:pPr>
        <w:ind w:left="227"/>
      </w:pPr>
      <w:r>
        <w:rPr>
          <w:rFonts w:ascii="Times New Roman" w:hAnsi="Times New Roman"/>
          <w:b/>
          <w:i w:val="0"/>
          <w:color w:val="1B3A6B"/>
          <w:sz w:val="22"/>
        </w:rPr>
        <w:t>Response:</w:t>
      </w:r>
    </w:p>
    <w:p>
      <w:pPr>
        <w:ind w:left="227"/>
      </w:pPr>
      <w:r>
        <w:rPr>
          <w:rFonts w:ascii="Times New Roman" w:hAnsi="Times New Roman"/>
          <w:b w:val="0"/>
          <w:i w:val="0"/>
          <w:color w:val="B3261E"/>
          <w:sz w:val="22"/>
        </w:rPr>
        <w:t>⚠ [NEEDS AUTHOR VERIFICATION against Figure 2 values] We have checked the correlation sign against the underlying data and corrected the text so that both passages consistently describe the same (verified) relationship.</w:t>
      </w:r>
    </w:p>
    <w:p/>
    <w:p>
      <w:r>
        <w:rPr>
          <w:rFonts w:ascii="Times New Roman" w:hAnsi="Times New Roman"/>
          <w:b/>
          <w:i w:val="0"/>
          <w:sz w:val="24"/>
        </w:rPr>
        <w:t>Minor / formatting comments (batch response)</w:t>
      </w:r>
    </w:p>
    <w:p>
      <w:pPr>
        <w:ind w:left="113"/>
      </w:pPr>
      <w:r>
        <w:rPr>
          <w:rFonts w:ascii="Times New Roman" w:hAnsi="Times New Roman"/>
          <w:b w:val="0"/>
          <w:i w:val="0"/>
          <w:sz w:val="22"/>
        </w:rPr>
        <w:t>The following formatting, wording, and citation-related comments have all been addressed as suggested throughout the revised manuscript:</w:t>
      </w:r>
    </w:p>
    <w:p>
      <w:pPr>
        <w:ind w:left="283"/>
      </w:pPr>
      <w:r>
        <w:rPr>
          <w:rFonts w:ascii="Times New Roman" w:hAnsi="Times New Roman"/>
          <w:b w:val="0"/>
          <w:i w:val="0"/>
          <w:sz w:val="21"/>
        </w:rPr>
        <w:t>•  Line 41: capitalization corrected ("desert"→"Desert", "plateau"→"Plateau").</w:t>
      </w:r>
    </w:p>
    <w:p>
      <w:pPr>
        <w:ind w:left="283"/>
      </w:pPr>
      <w:r>
        <w:rPr>
          <w:rFonts w:ascii="Times New Roman" w:hAnsi="Times New Roman"/>
          <w:b w:val="0"/>
          <w:i w:val="0"/>
          <w:sz w:val="21"/>
        </w:rPr>
        <w:t>•  Line 60/63: the citations to references [6] and [25] regarding the 2021 dust storm have been checked against their content and swapped where appropriate.</w:t>
      </w:r>
    </w:p>
    <w:p>
      <w:pPr>
        <w:ind w:left="283"/>
      </w:pPr>
      <w:r>
        <w:rPr>
          <w:rFonts w:ascii="Times New Roman" w:hAnsi="Times New Roman"/>
          <w:b w:val="0"/>
          <w:i w:val="0"/>
          <w:sz w:val="21"/>
        </w:rPr>
        <w:t>•  Line 100: "mainly" added before "China" to reflect that the study domain extends into neighboring countries.</w:t>
      </w:r>
    </w:p>
    <w:p>
      <w:pPr>
        <w:ind w:left="283"/>
      </w:pPr>
      <w:r>
        <w:rPr>
          <w:rFonts w:ascii="Times New Roman" w:hAnsi="Times New Roman"/>
          <w:b w:val="0"/>
          <w:i w:val="0"/>
          <w:sz w:val="21"/>
        </w:rPr>
        <w:t>•  Line 107 and subsequent maps: source-region and receptor-region boxes are now consistently outlined on all relevant maps.</w:t>
      </w:r>
    </w:p>
    <w:p>
      <w:pPr>
        <w:ind w:left="283"/>
      </w:pPr>
      <w:r>
        <w:rPr>
          <w:rFonts w:ascii="Times New Roman" w:hAnsi="Times New Roman"/>
          <w:b w:val="0"/>
          <w:i w:val="0"/>
          <w:sz w:val="21"/>
        </w:rPr>
        <w:t>•  Line 111: "light" added before "absorbing".</w:t>
      </w:r>
    </w:p>
    <w:p>
      <w:pPr>
        <w:ind w:left="283"/>
      </w:pPr>
      <w:r>
        <w:rPr>
          <w:rFonts w:ascii="Times New Roman" w:hAnsi="Times New Roman"/>
          <w:b w:val="0"/>
          <w:i w:val="0"/>
          <w:sz w:val="21"/>
        </w:rPr>
        <w:t>•  Line 112 onward: all abbreviations (TROPOMI, CAMS, etc.) are spelled out at first occurrence.</w:t>
      </w:r>
    </w:p>
    <w:p>
      <w:pPr>
        <w:ind w:left="283"/>
      </w:pPr>
      <w:r>
        <w:rPr>
          <w:rFonts w:ascii="Times New Roman" w:hAnsi="Times New Roman"/>
          <w:b w:val="0"/>
          <w:i w:val="0"/>
          <w:sz w:val="21"/>
        </w:rPr>
        <w:t>•  Line 157/175: data-source links and dataset references have been added.</w:t>
      </w:r>
    </w:p>
    <w:p>
      <w:pPr>
        <w:ind w:left="283"/>
      </w:pPr>
      <w:r>
        <w:rPr>
          <w:rFonts w:ascii="Times New Roman" w:hAnsi="Times New Roman"/>
          <w:b w:val="0"/>
          <w:i w:val="0"/>
          <w:sz w:val="21"/>
        </w:rPr>
        <w:t>•  Line 196: the statistical-significance marker (p &lt; 0.05) is now stated in the caption and referenced in the text.</w:t>
      </w:r>
    </w:p>
    <w:p>
      <w:pPr>
        <w:ind w:left="283"/>
      </w:pPr>
      <w:r>
        <w:rPr>
          <w:rFonts w:ascii="Times New Roman" w:hAnsi="Times New Roman"/>
          <w:b w:val="0"/>
          <w:i w:val="0"/>
          <w:sz w:val="21"/>
        </w:rPr>
        <w:t>•  Lines 205–211: the redundant 700 hPa panel has been removed in favor of an enlarged 500 hPa panel.</w:t>
      </w:r>
    </w:p>
    <w:p>
      <w:pPr>
        <w:ind w:left="283"/>
      </w:pPr>
      <w:r>
        <w:rPr>
          <w:rFonts w:ascii="Times New Roman" w:hAnsi="Times New Roman"/>
          <w:b w:val="0"/>
          <w:i w:val="0"/>
          <w:sz w:val="21"/>
        </w:rPr>
        <w:t>•  Line 222: the undiscussed relative-humidity panel has been removed in favor of an enlarged left-column panel.</w:t>
      </w:r>
    </w:p>
    <w:p>
      <w:pPr>
        <w:ind w:left="283"/>
      </w:pPr>
      <w:r>
        <w:rPr>
          <w:rFonts w:ascii="Times New Roman" w:hAnsi="Times New Roman"/>
          <w:b w:val="0"/>
          <w:i w:val="0"/>
          <w:sz w:val="21"/>
        </w:rPr>
        <w:t>•  Line 224: a legend has been added to the temperature panel.</w:t>
      </w:r>
    </w:p>
    <w:p>
      <w:pPr>
        <w:ind w:left="283"/>
      </w:pPr>
      <w:r>
        <w:rPr>
          <w:rFonts w:ascii="Times New Roman" w:hAnsi="Times New Roman"/>
          <w:b w:val="0"/>
          <w:i w:val="0"/>
          <w:sz w:val="21"/>
        </w:rPr>
        <w:t>•  Lines 291–292: "remained concentrated" changed to "remained located".</w:t>
      </w:r>
    </w:p>
    <w:p>
      <w:pPr>
        <w:ind w:left="283"/>
      </w:pPr>
      <w:r>
        <w:rPr>
          <w:rFonts w:ascii="Times New Roman" w:hAnsi="Times New Roman"/>
          <w:b w:val="0"/>
          <w:i w:val="0"/>
          <w:sz w:val="21"/>
        </w:rPr>
        <w:t>•  Lines 293, 296: "(1E-04)" changed to "× 10⁻⁴".</w:t>
      </w:r>
    </w:p>
    <w:p>
      <w:pPr>
        <w:ind w:left="283"/>
      </w:pPr>
      <w:r>
        <w:rPr>
          <w:rFonts w:ascii="Times New Roman" w:hAnsi="Times New Roman"/>
          <w:b w:val="0"/>
          <w:i w:val="0"/>
          <w:sz w:val="21"/>
        </w:rPr>
        <w:t>•  Line 397 (Fig. 17): axis and legend font sizes enlarged; the x-axis label corrected from "Distance along transection (km)" to reflect that the axis is longitude.</w:t>
      </w:r>
    </w:p>
    <w:p>
      <w:pPr>
        <w:ind w:left="283"/>
      </w:pPr>
      <w:r>
        <w:rPr>
          <w:rFonts w:ascii="Times New Roman" w:hAnsi="Times New Roman"/>
          <w:b w:val="0"/>
          <w:i w:val="0"/>
          <w:sz w:val="21"/>
        </w:rPr>
        <w:t>•  Lines 371–372, 375: the description of high-concentration points/gradients over TK on 19–20 March has been checked against the actual number of points shown and moderated where it overstated the figure.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