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48526" w14:textId="77777777" w:rsidR="0068691B" w:rsidRDefault="0068691B" w:rsidP="0068691B">
      <w:pPr>
        <w:widowControl/>
      </w:pPr>
      <w:r>
        <w:rPr>
          <w:rFonts w:ascii="CMBXTI10" w:eastAsia="CMBXTI10" w:hAnsi="CMBXTI10" w:cs="CMBXTI10"/>
          <w:b/>
          <w:bCs/>
          <w:i/>
          <w:iCs/>
          <w:color w:val="000000"/>
          <w:kern w:val="0"/>
          <w:sz w:val="17"/>
          <w:szCs w:val="17"/>
          <w:lang w:bidi="ar"/>
        </w:rPr>
        <w:t xml:space="preserve">Research Question: </w:t>
      </w:r>
      <w:r>
        <w:rPr>
          <w:rFonts w:ascii="CMTI9" w:eastAsia="CMTI9" w:hAnsi="CMTI9" w:cs="CMTI9"/>
          <w:i/>
          <w:iCs/>
          <w:color w:val="000000"/>
          <w:kern w:val="0"/>
          <w:sz w:val="17"/>
          <w:szCs w:val="17"/>
          <w:lang w:bidi="ar"/>
        </w:rPr>
        <w:t>How do interest gaps between stakeholders influence the decision-making process in designing AI-enabled flood mitigation in the Netherlands?</w:t>
      </w:r>
    </w:p>
    <w:p w14:paraId="7474CBB5" w14:textId="77777777" w:rsidR="0068691B" w:rsidRDefault="0068691B" w:rsidP="0068691B">
      <w:pPr>
        <w:pStyle w:val="1"/>
      </w:pPr>
      <w:r>
        <w:t>2 Case description &amp; Analysis</w:t>
      </w:r>
    </w:p>
    <w:p w14:paraId="3FB7D4D7" w14:textId="5F7AAF80" w:rsidR="0068691B" w:rsidRDefault="0068691B" w:rsidP="0068691B">
      <w:r>
        <w:t xml:space="preserve">To begin analyzing this </w:t>
      </w:r>
      <w:r w:rsidR="00992A39">
        <w:rPr>
          <w:rFonts w:hint="eastAsia"/>
        </w:rPr>
        <w:t>wicked</w:t>
      </w:r>
      <w:r>
        <w:t xml:space="preserve"> problem, we first introduce the actors</w:t>
      </w:r>
      <w:r w:rsidR="00992A39">
        <w:rPr>
          <w:rFonts w:hint="eastAsia"/>
        </w:rPr>
        <w:t xml:space="preserve"> and stakeholders</w:t>
      </w:r>
      <w:r>
        <w:t xml:space="preserve"> involved in the decision-making process. Next, we will organize the Power-Interest grid and Actor coalitions on shared values based on our information, and then briefly discuss the timelin</w:t>
      </w:r>
      <w:r>
        <w:rPr>
          <w:rFonts w:hint="eastAsia"/>
        </w:rPr>
        <w:t>e.</w:t>
      </w:r>
    </w:p>
    <w:p w14:paraId="0A6D2023" w14:textId="77777777" w:rsidR="0068691B" w:rsidRDefault="0068691B" w:rsidP="0068691B">
      <w:pPr>
        <w:pStyle w:val="2"/>
      </w:pPr>
      <w:r>
        <w:rPr>
          <w:rFonts w:hint="eastAsia"/>
        </w:rPr>
        <w:t>2.1 Actor and stakeholder identification</w:t>
      </w:r>
    </w:p>
    <w:p w14:paraId="1776A500" w14:textId="044D5329" w:rsidR="0068691B" w:rsidRDefault="00992A39" w:rsidP="0068691B">
      <w:pPr>
        <w:rPr>
          <w:rFonts w:hint="eastAsia"/>
        </w:rPr>
      </w:pPr>
      <w:r>
        <w:t>The main actors and stakeholders in the decision-making process include those with direct and indirect participation. These are categorized into two main groups: actors (who make decisions) and stakeholders (who are affected but do not have a say in the decision-making process).</w:t>
      </w:r>
      <w:r w:rsidR="00771557">
        <w:rPr>
          <w:rFonts w:hint="eastAsia"/>
        </w:rPr>
        <w:t xml:space="preserve"> These 2 groups can be</w:t>
      </w:r>
      <w:r w:rsidR="00771557" w:rsidRPr="00C30C14">
        <w:t xml:space="preserve"> categorized into three groups: government and other official institutions, citizens, and research institutes</w:t>
      </w:r>
      <w:r w:rsidR="00771557">
        <w:rPr>
          <w:rFonts w:hint="eastAsia"/>
        </w:rPr>
        <w:t>.</w:t>
      </w:r>
    </w:p>
    <w:p w14:paraId="3DA4B303" w14:textId="77777777" w:rsidR="0068691B" w:rsidRDefault="0068691B" w:rsidP="0068691B">
      <w:r>
        <w:rPr>
          <w:rFonts w:hint="eastAsia"/>
        </w:rPr>
        <w:t>(If follow the example on BS, these detailed explanations can be put in the appendix.)</w:t>
      </w:r>
    </w:p>
    <w:p w14:paraId="727454E6" w14:textId="1F1B7CE1" w:rsidR="0068691B" w:rsidRDefault="00992A39" w:rsidP="0068691B">
      <w:r>
        <w:t>Actors (Decision Makers)</w:t>
      </w:r>
      <w:r w:rsidR="0068691B">
        <w:rPr>
          <w:rFonts w:hint="eastAsia"/>
        </w:rPr>
        <w:t>:</w:t>
      </w:r>
    </w:p>
    <w:p w14:paraId="73EA0173" w14:textId="744F12D7" w:rsidR="0068691B" w:rsidRDefault="004563F5" w:rsidP="0068691B">
      <w:pPr>
        <w:numPr>
          <w:ilvl w:val="0"/>
          <w:numId w:val="1"/>
        </w:numPr>
      </w:pPr>
      <w:proofErr w:type="spellStart"/>
      <w:r>
        <w:rPr>
          <w:rStyle w:val="ac"/>
        </w:rPr>
        <w:t>Bestuurlijk</w:t>
      </w:r>
      <w:proofErr w:type="spellEnd"/>
      <w:r>
        <w:rPr>
          <w:rStyle w:val="ac"/>
        </w:rPr>
        <w:t xml:space="preserve"> Platform </w:t>
      </w:r>
      <w:proofErr w:type="spellStart"/>
      <w:r>
        <w:rPr>
          <w:rStyle w:val="ac"/>
        </w:rPr>
        <w:t>Zoetwater</w:t>
      </w:r>
      <w:proofErr w:type="spellEnd"/>
      <w:r>
        <w:rPr>
          <w:rStyle w:val="ac"/>
        </w:rPr>
        <w:t xml:space="preserve"> (BPZ)</w:t>
      </w:r>
      <w:r>
        <w:t xml:space="preserve">: BPZ advises on the strategy for river plans and determines on what the </w:t>
      </w:r>
      <w:proofErr w:type="spellStart"/>
      <w:r>
        <w:t>Deltafondsbudget</w:t>
      </w:r>
      <w:proofErr w:type="spellEnd"/>
      <w:r>
        <w:t xml:space="preserve"> can be spent. The </w:t>
      </w:r>
      <w:proofErr w:type="spellStart"/>
      <w:r>
        <w:t>Deltafondsbudget</w:t>
      </w:r>
      <w:proofErr w:type="spellEnd"/>
      <w:r>
        <w:t xml:space="preserve"> is a budget for climate-adaptive and water-robust infrastructure in the Netherlands (</w:t>
      </w:r>
      <w:r w:rsidRPr="004563F5">
        <w:t>https://www.deltaprogramma.nl/deltaprogramma/deltafonds</w:t>
      </w:r>
      <w:r>
        <w:t>).</w:t>
      </w:r>
    </w:p>
    <w:p w14:paraId="73468964" w14:textId="784C645B" w:rsidR="0068691B" w:rsidRDefault="004563F5" w:rsidP="0068691B">
      <w:pPr>
        <w:numPr>
          <w:ilvl w:val="0"/>
          <w:numId w:val="1"/>
        </w:numPr>
      </w:pPr>
      <w:r>
        <w:rPr>
          <w:rStyle w:val="ac"/>
        </w:rPr>
        <w:t xml:space="preserve">Slim </w:t>
      </w:r>
      <w:proofErr w:type="spellStart"/>
      <w:r>
        <w:rPr>
          <w:rStyle w:val="ac"/>
        </w:rPr>
        <w:t>Watermanagement</w:t>
      </w:r>
      <w:proofErr w:type="spellEnd"/>
      <w:r>
        <w:rPr>
          <w:rStyle w:val="ac"/>
        </w:rPr>
        <w:t xml:space="preserve"> (Slim WM)</w:t>
      </w:r>
      <w:r>
        <w:t>: Supports regional water authorities with the implementation of national policies and plans and is part of Rijkswaterstaat (</w:t>
      </w:r>
      <w:r w:rsidRPr="004563F5">
        <w:t>https://www.slimwatermanagement.nl/programma/programma-slim/</w:t>
      </w:r>
      <w:r>
        <w:t>)</w:t>
      </w:r>
      <w:r w:rsidR="0068691B">
        <w:t>.</w:t>
      </w:r>
    </w:p>
    <w:p w14:paraId="7411C1D4" w14:textId="52B8097C" w:rsidR="0068691B" w:rsidRDefault="0068691B" w:rsidP="0068691B">
      <w:pPr>
        <w:numPr>
          <w:ilvl w:val="0"/>
          <w:numId w:val="1"/>
        </w:numPr>
      </w:pPr>
      <w:r>
        <w:rPr>
          <w:rFonts w:hint="eastAsia"/>
        </w:rPr>
        <w:t xml:space="preserve">Rijkswaterstaat: </w:t>
      </w:r>
      <w:r>
        <w:t>As the national agency under the Ministry of Infrastructure and Water Management, Rijkswaterstaat manages the Netherlands' main water defense systems, including dikes, dams, and storm surge barriers.</w:t>
      </w:r>
      <w:r>
        <w:rPr>
          <w:rFonts w:hint="eastAsia"/>
        </w:rPr>
        <w:t xml:space="preserve"> Rijkswaterstaat </w:t>
      </w:r>
      <w:r>
        <w:t>play</w:t>
      </w:r>
      <w:r>
        <w:rPr>
          <w:rFonts w:hint="eastAsia"/>
        </w:rPr>
        <w:t xml:space="preserve"> a significant stake in evaluating flood risk assessments, designing and implementing flood defense measures, and ensuring the long-term integrity of </w:t>
      </w:r>
      <w:proofErr w:type="gramStart"/>
      <w:r>
        <w:rPr>
          <w:rFonts w:hint="eastAsia"/>
        </w:rPr>
        <w:t>infrastructure.[</w:t>
      </w:r>
      <w:proofErr w:type="gramEnd"/>
      <w:r>
        <w:rPr>
          <w:rFonts w:hint="eastAsia"/>
        </w:rPr>
        <w:t xml:space="preserve">https://www.jice.or.jp/cms/kokudo/pdf/reports/autonomy/river/kaigan/gijutsu_05.pdf]. </w:t>
      </w:r>
      <w:r w:rsidR="004563F5">
        <w:t xml:space="preserve">Leads the policy discussion on a national level with Slim WM, allocates funding for ML implementation at RWS, and establishes regulatory frameworks for ML use in public safety. RWS is part of the Ministry of Infrastructure </w:t>
      </w:r>
      <w:r w:rsidR="004563F5">
        <w:lastRenderedPageBreak/>
        <w:t>and Water Management</w:t>
      </w:r>
      <w:r>
        <w:t>.</w:t>
      </w:r>
    </w:p>
    <w:p w14:paraId="6845CFA2" w14:textId="31F0D603" w:rsidR="0068691B" w:rsidRDefault="004563F5" w:rsidP="0068691B">
      <w:pPr>
        <w:numPr>
          <w:ilvl w:val="0"/>
          <w:numId w:val="1"/>
        </w:numPr>
      </w:pPr>
      <w:r w:rsidRPr="004563F5">
        <w:rPr>
          <w:b/>
          <w:bCs/>
        </w:rPr>
        <w:t xml:space="preserve">Regional Water Authority </w:t>
      </w:r>
      <w:proofErr w:type="spellStart"/>
      <w:r w:rsidRPr="004563F5">
        <w:rPr>
          <w:b/>
          <w:bCs/>
        </w:rPr>
        <w:t>Brabantse</w:t>
      </w:r>
      <w:proofErr w:type="spellEnd"/>
      <w:r w:rsidRPr="004563F5">
        <w:rPr>
          <w:b/>
          <w:bCs/>
        </w:rPr>
        <w:t xml:space="preserve"> Delta (</w:t>
      </w:r>
      <w:proofErr w:type="spellStart"/>
      <w:r w:rsidRPr="004563F5">
        <w:rPr>
          <w:b/>
          <w:bCs/>
        </w:rPr>
        <w:t>Hoogheemraadschap</w:t>
      </w:r>
      <w:proofErr w:type="spellEnd"/>
      <w:r w:rsidRPr="004563F5">
        <w:rPr>
          <w:b/>
          <w:bCs/>
        </w:rPr>
        <w:t xml:space="preserve"> </w:t>
      </w:r>
      <w:proofErr w:type="spellStart"/>
      <w:r w:rsidRPr="004563F5">
        <w:rPr>
          <w:b/>
          <w:bCs/>
        </w:rPr>
        <w:t>Brabantse</w:t>
      </w:r>
      <w:proofErr w:type="spellEnd"/>
      <w:r w:rsidRPr="004563F5">
        <w:rPr>
          <w:b/>
          <w:bCs/>
        </w:rPr>
        <w:t xml:space="preserve"> Delta)</w:t>
      </w:r>
      <w:r w:rsidRPr="004563F5">
        <w:t>: Takes the initiative on implementing modeling for policies in its water region. Ensures good water quality, sufficient water supply for irrigation, regional flood control measures, and sewage treatment</w:t>
      </w:r>
      <w:r w:rsidR="0068691B">
        <w:t>.</w:t>
      </w:r>
    </w:p>
    <w:p w14:paraId="64735170" w14:textId="77777777" w:rsidR="004563F5" w:rsidRDefault="004563F5" w:rsidP="004563F5">
      <w:pPr>
        <w:numPr>
          <w:ilvl w:val="0"/>
          <w:numId w:val="1"/>
        </w:numPr>
      </w:pPr>
      <w:proofErr w:type="spellStart"/>
      <w:r w:rsidRPr="004563F5">
        <w:rPr>
          <w:b/>
          <w:bCs/>
        </w:rPr>
        <w:t>Waterschappen</w:t>
      </w:r>
      <w:proofErr w:type="spellEnd"/>
      <w:r>
        <w:rPr>
          <w:rFonts w:hint="eastAsia"/>
        </w:rPr>
        <w:t xml:space="preserve">: </w:t>
      </w:r>
      <w:r w:rsidRPr="005B3C55">
        <w:t xml:space="preserve">also known as water management boards, are responsible for managing regional water systems such as canals and dikes. They ensure good water quality and maintain sufficient water supply, especially for irrigation purposes. </w:t>
      </w:r>
      <w:proofErr w:type="spellStart"/>
      <w:r w:rsidRPr="005B3C55">
        <w:t>Waterschappen</w:t>
      </w:r>
      <w:proofErr w:type="spellEnd"/>
      <w:r w:rsidRPr="005B3C55">
        <w:t xml:space="preserve"> are also responsible for regional flood control measures and sewage treatment to protect the local environment and public </w:t>
      </w:r>
      <w:proofErr w:type="gramStart"/>
      <w:r w:rsidRPr="005B3C55">
        <w:t>health[</w:t>
      </w:r>
      <w:proofErr w:type="gramEnd"/>
      <w:r w:rsidRPr="005B3C55">
        <w:t xml:space="preserve"> https://www.rijksoverheid.nl/onderwerpen/water/waterbeheer-in-nederland ]</w:t>
      </w:r>
      <w:r>
        <w:rPr>
          <w:rFonts w:hint="eastAsia"/>
        </w:rPr>
        <w:t xml:space="preserve">. </w:t>
      </w:r>
      <w:r>
        <w:t xml:space="preserve">In the context of AI, </w:t>
      </w:r>
      <w:proofErr w:type="spellStart"/>
      <w:r>
        <w:t>Waterschappen</w:t>
      </w:r>
      <w:proofErr w:type="spellEnd"/>
      <w:r>
        <w:t xml:space="preserve"> can leverage AI for real-time data analysis and predictive maintenance of water systems.</w:t>
      </w:r>
    </w:p>
    <w:p w14:paraId="593B702A" w14:textId="51E89651" w:rsidR="0068691B" w:rsidRDefault="00771557" w:rsidP="0068691B">
      <w:pPr>
        <w:numPr>
          <w:ilvl w:val="0"/>
          <w:numId w:val="1"/>
        </w:numPr>
      </w:pPr>
      <w:r w:rsidRPr="00554B80">
        <w:t xml:space="preserve">Research Institutes: Academic and research organizations play a crucial role in advancing the scientific and technical aspects of flood mitigation. </w:t>
      </w:r>
      <w:r>
        <w:t>They conduct studies, publish findings on AI effectiveness, and recommend best practices. Their involvement ensures that AI tools are scientifically sound and practically applicable</w:t>
      </w:r>
      <w:r>
        <w:rPr>
          <w:rFonts w:hint="eastAsia"/>
        </w:rPr>
        <w:t xml:space="preserve"> [</w:t>
      </w:r>
      <w:r>
        <w:rPr>
          <w:rFonts w:ascii="Arial" w:hAnsi="Arial" w:cs="Arial"/>
          <w:color w:val="222222"/>
          <w:sz w:val="20"/>
          <w:szCs w:val="20"/>
          <w:shd w:val="clear" w:color="auto" w:fill="FFFFFF"/>
        </w:rPr>
        <w:t xml:space="preserve">Bhuyan K, Van Westen C, Wang J, et al. Mapping and </w:t>
      </w:r>
      <w:proofErr w:type="spellStart"/>
      <w:r>
        <w:rPr>
          <w:rFonts w:ascii="Arial" w:hAnsi="Arial" w:cs="Arial"/>
          <w:color w:val="222222"/>
          <w:sz w:val="20"/>
          <w:szCs w:val="20"/>
          <w:shd w:val="clear" w:color="auto" w:fill="FFFFFF"/>
        </w:rPr>
        <w:t>characterising</w:t>
      </w:r>
      <w:proofErr w:type="spellEnd"/>
      <w:r>
        <w:rPr>
          <w:rFonts w:ascii="Arial" w:hAnsi="Arial" w:cs="Arial"/>
          <w:color w:val="222222"/>
          <w:sz w:val="20"/>
          <w:szCs w:val="20"/>
          <w:shd w:val="clear" w:color="auto" w:fill="FFFFFF"/>
        </w:rPr>
        <w:t xml:space="preserve"> buildings for flood exposure analysis using open-source data and artificial intelligence[J]. Natural Hazards, 2023, 119(2): 805-835.</w:t>
      </w:r>
      <w:r>
        <w:rPr>
          <w:rFonts w:ascii="Arial" w:hAnsi="Arial" w:cs="Arial" w:hint="eastAsia"/>
          <w:color w:val="222222"/>
          <w:sz w:val="20"/>
          <w:szCs w:val="20"/>
          <w:shd w:val="clear" w:color="auto" w:fill="FFFFFF"/>
        </w:rPr>
        <w:t>]</w:t>
      </w:r>
      <w:r>
        <w:t>.</w:t>
      </w:r>
      <w:r>
        <w:rPr>
          <w:rFonts w:hint="eastAsia"/>
        </w:rPr>
        <w:t xml:space="preserve"> e.g. </w:t>
      </w:r>
      <w:proofErr w:type="spellStart"/>
      <w:r w:rsidR="004563F5" w:rsidRPr="004563F5">
        <w:rPr>
          <w:b/>
          <w:bCs/>
        </w:rPr>
        <w:t>Deltares</w:t>
      </w:r>
      <w:proofErr w:type="spellEnd"/>
      <w:r w:rsidR="004563F5" w:rsidRPr="004563F5">
        <w:t>: A research institute that assists in ML model development for the water authorities</w:t>
      </w:r>
      <w:r w:rsidR="004563F5">
        <w:rPr>
          <w:rFonts w:hint="eastAsia"/>
        </w:rPr>
        <w:t xml:space="preserve"> (</w:t>
      </w:r>
      <w:hyperlink r:id="rId8" w:history="1">
        <w:r w:rsidRPr="00C165C5">
          <w:rPr>
            <w:rStyle w:val="ad"/>
          </w:rPr>
          <w:t>https://www.deltares.nl/</w:t>
        </w:r>
      </w:hyperlink>
      <w:r w:rsidR="004563F5">
        <w:rPr>
          <w:rFonts w:hint="eastAsia"/>
        </w:rPr>
        <w:t>)</w:t>
      </w:r>
      <w:r w:rsidR="0068691B">
        <w:t>.</w:t>
      </w:r>
    </w:p>
    <w:p w14:paraId="12C07395" w14:textId="2D185173" w:rsidR="00771557" w:rsidRDefault="00771557" w:rsidP="00771557">
      <w:pPr>
        <w:numPr>
          <w:ilvl w:val="0"/>
          <w:numId w:val="1"/>
        </w:numPr>
      </w:pPr>
      <w:r>
        <w:rPr>
          <w:rFonts w:hint="eastAsia"/>
        </w:rPr>
        <w:t xml:space="preserve">Ministry of Infrastructure and Water Management: This ministry oversees overall water management and flood protection policies in the Netherlands. </w:t>
      </w:r>
      <w:r>
        <w:t>They set national flood risk standards, provide financial support for flood defense projects, and coordinate with other ministries on water-related issues</w:t>
      </w:r>
      <w:r>
        <w:rPr>
          <w:rFonts w:hint="eastAsia"/>
        </w:rPr>
        <w:t xml:space="preserve"> [https://www.government.nl/topics/water-management/water-management-in-the-netherlands, </w:t>
      </w:r>
      <w:hyperlink r:id="rId9" w:history="1">
        <w:r w:rsidRPr="00303BFC">
          <w:rPr>
            <w:rStyle w:val="ad"/>
            <w:rFonts w:hint="eastAsia"/>
          </w:rPr>
          <w:t>https://www.rijksoverheid.nl/documenten/rapporten/2022/03/18/bijlage-nationaal-water-programma-2022-2027</w:t>
        </w:r>
      </w:hyperlink>
      <w:r>
        <w:rPr>
          <w:rFonts w:hint="eastAsia"/>
        </w:rPr>
        <w:t xml:space="preserve">]. </w:t>
      </w:r>
      <w:r>
        <w:t>The ministry leads policy discussions on incorporating AI-based thresholds that adapt to changing conditions, allocates funding for AI implementation, and establishes regulatory frameworks for AI use in public safety.</w:t>
      </w:r>
    </w:p>
    <w:p w14:paraId="584ACDD4" w14:textId="77777777" w:rsidR="0068691B" w:rsidRDefault="0068691B" w:rsidP="0068691B">
      <w:pPr>
        <w:numPr>
          <w:ilvl w:val="0"/>
          <w:numId w:val="1"/>
        </w:numPr>
      </w:pPr>
      <w:r>
        <w:rPr>
          <w:rFonts w:hint="eastAsia"/>
        </w:rPr>
        <w:t xml:space="preserve">Ministry of Economic Affairs and Climate Policy: </w:t>
      </w:r>
      <w:r>
        <w:t xml:space="preserve">Focuses </w:t>
      </w:r>
      <w:r>
        <w:rPr>
          <w:rFonts w:hint="eastAsia"/>
        </w:rPr>
        <w:t xml:space="preserve">on national economic development and climate change adaptation. </w:t>
      </w:r>
      <w:r>
        <w:t>They balance flood protection with economic interests, particularly for businesses and infrastructure</w:t>
      </w:r>
      <w:r>
        <w:rPr>
          <w:rFonts w:hint="eastAsia"/>
        </w:rPr>
        <w:t>[https://www.rijksoverheid.nl/ministeries/ministerie-van-</w:t>
      </w:r>
      <w:r>
        <w:rPr>
          <w:rFonts w:hint="eastAsia"/>
        </w:rPr>
        <w:lastRenderedPageBreak/>
        <w:t xml:space="preserve">economische-zaken-en-klimaat]. </w:t>
      </w:r>
      <w:r>
        <w:t>This ministry can facilitate the collaboration between businesses and research institutes to demonstrate AI capabilities and address concerns about reliability and ethical use.</w:t>
      </w:r>
    </w:p>
    <w:p w14:paraId="48C71E4C" w14:textId="1BA35396" w:rsidR="0068691B" w:rsidRDefault="004563F5" w:rsidP="0068691B">
      <w:r>
        <w:t>Stakeholders (Affected Parties)</w:t>
      </w:r>
      <w:r w:rsidR="0068691B">
        <w:rPr>
          <w:rFonts w:hint="eastAsia"/>
        </w:rPr>
        <w:t>:</w:t>
      </w:r>
    </w:p>
    <w:p w14:paraId="2397ED00" w14:textId="18BE1A5D" w:rsidR="004563F5" w:rsidRDefault="004563F5" w:rsidP="004563F5">
      <w:pPr>
        <w:numPr>
          <w:ilvl w:val="0"/>
          <w:numId w:val="1"/>
        </w:numPr>
      </w:pPr>
      <w:r w:rsidRPr="004563F5">
        <w:rPr>
          <w:b/>
          <w:bCs/>
        </w:rPr>
        <w:t>Citizens</w:t>
      </w:r>
      <w:r w:rsidRPr="004563F5">
        <w:t>: Water use is influenced by decisions made by water authorities and municipalities. Farmers</w:t>
      </w:r>
      <w:proofErr w:type="gramStart"/>
      <w:r w:rsidRPr="004563F5">
        <w:t>, in particular, are</w:t>
      </w:r>
      <w:proofErr w:type="gramEnd"/>
      <w:r w:rsidRPr="004563F5">
        <w:t xml:space="preserve"> highly affected by policies on water use set by water authorities</w:t>
      </w:r>
      <w:r w:rsidR="0068691B">
        <w:t>.</w:t>
      </w:r>
    </w:p>
    <w:p w14:paraId="50603F39" w14:textId="7A1417DA" w:rsidR="0068691B" w:rsidRDefault="004563F5" w:rsidP="00771557">
      <w:pPr>
        <w:numPr>
          <w:ilvl w:val="0"/>
          <w:numId w:val="1"/>
        </w:numPr>
        <w:rPr>
          <w:rFonts w:hint="eastAsia"/>
        </w:rPr>
      </w:pPr>
      <w:r>
        <w:rPr>
          <w:rStyle w:val="ac"/>
        </w:rPr>
        <w:t>Municipalities</w:t>
      </w:r>
      <w:r>
        <w:t xml:space="preserve">: Affected by decisions made by water authorities, particularly in drought situations. For instance, media coverage highlighted dissatisfaction among farmers regarding irrigation bans set by the water authority </w:t>
      </w:r>
      <w:proofErr w:type="spellStart"/>
      <w:r>
        <w:t>Brabantse</w:t>
      </w:r>
      <w:proofErr w:type="spellEnd"/>
      <w:r>
        <w:t xml:space="preserve"> Delta (</w:t>
      </w:r>
      <w:proofErr w:type="spellStart"/>
      <w:r w:rsidRPr="6C53097B">
        <w:rPr>
          <w:rFonts w:ascii="Aptos" w:eastAsia="Aptos" w:hAnsi="Aptos" w:cs="Aptos"/>
          <w:sz w:val="24"/>
          <w:lang w:val="en-GB"/>
        </w:rPr>
        <w:t>Omroep</w:t>
      </w:r>
      <w:proofErr w:type="spellEnd"/>
      <w:r w:rsidRPr="6C53097B">
        <w:rPr>
          <w:rFonts w:ascii="Aptos" w:eastAsia="Aptos" w:hAnsi="Aptos" w:cs="Aptos"/>
          <w:sz w:val="24"/>
          <w:lang w:val="en-GB"/>
        </w:rPr>
        <w:t xml:space="preserve"> Brabant, 2021</w:t>
      </w:r>
      <w:r>
        <w:t>)</w:t>
      </w:r>
      <w:r w:rsidR="0068691B">
        <w:t>.</w:t>
      </w:r>
    </w:p>
    <w:p w14:paraId="176658B5" w14:textId="3C9945A8" w:rsidR="0068691B" w:rsidRDefault="00771557" w:rsidP="00555E5A">
      <w:pPr>
        <w:jc w:val="both"/>
      </w:pPr>
      <w:r>
        <w:t xml:space="preserve">The government and official institutions, including Rijkswaterstaat, </w:t>
      </w:r>
      <w:proofErr w:type="spellStart"/>
      <w:r>
        <w:t>Waterschappen</w:t>
      </w:r>
      <w:proofErr w:type="spellEnd"/>
      <w:r>
        <w:t>, Ministry of Infrastructure and Water Management, and the Ministry of Economic Affairs and Climate Policy, play crucial roles in the decision-making process and are responsible for developing and implementing relevant policies, regulations, and flood defense measures. These institutions ensure public safety, manage natural resources, and maintain national infrastructure, making them the main decision-makers on flood mitigation plans. Although citizens are usually not directly involved in the decision-making process, they are significantly impacted by flood prevention measures. The safety and well-being of citizens in flood-prone areas should be fully considered in the decision-making process. Companies and research institutes often provide important technical support and feedback to ensure transparency and sustainability.</w:t>
      </w:r>
    </w:p>
    <w:tbl>
      <w:tblPr>
        <w:tblStyle w:val="ab"/>
        <w:tblW w:w="5000" w:type="pct"/>
        <w:tblLook w:val="04A0" w:firstRow="1" w:lastRow="0" w:firstColumn="1" w:lastColumn="0" w:noHBand="0" w:noVBand="1"/>
      </w:tblPr>
      <w:tblGrid>
        <w:gridCol w:w="4148"/>
        <w:gridCol w:w="4148"/>
      </w:tblGrid>
      <w:tr w:rsidR="0068691B" w14:paraId="2EB9BFC5" w14:textId="77777777" w:rsidTr="009639B2">
        <w:tc>
          <w:tcPr>
            <w:tcW w:w="2500" w:type="pct"/>
            <w:vAlign w:val="bottom"/>
          </w:tcPr>
          <w:p w14:paraId="4C65D9EA" w14:textId="6F038BC0" w:rsidR="0068691B" w:rsidRPr="00555E5A" w:rsidRDefault="00555E5A" w:rsidP="009639B2">
            <w:pPr>
              <w:rPr>
                <w:sz w:val="18"/>
                <w:szCs w:val="18"/>
              </w:rPr>
            </w:pPr>
            <w:r w:rsidRPr="00555E5A">
              <w:rPr>
                <w:sz w:val="18"/>
                <w:szCs w:val="18"/>
              </w:rPr>
              <w:t>Actors and Stakeholders</w:t>
            </w:r>
          </w:p>
        </w:tc>
        <w:tc>
          <w:tcPr>
            <w:tcW w:w="2500" w:type="pct"/>
            <w:vAlign w:val="bottom"/>
          </w:tcPr>
          <w:p w14:paraId="7A65CEC1" w14:textId="5FC436A7" w:rsidR="0068691B" w:rsidRPr="00555E5A" w:rsidRDefault="00555E5A" w:rsidP="009639B2">
            <w:pPr>
              <w:rPr>
                <w:sz w:val="18"/>
                <w:szCs w:val="18"/>
              </w:rPr>
            </w:pPr>
            <w:r w:rsidRPr="00555E5A">
              <w:rPr>
                <w:sz w:val="18"/>
                <w:szCs w:val="18"/>
              </w:rPr>
              <w:t>Responsibilities</w:t>
            </w:r>
          </w:p>
        </w:tc>
      </w:tr>
      <w:tr w:rsidR="0068691B" w14:paraId="2FBA3F7C" w14:textId="77777777" w:rsidTr="009639B2">
        <w:tc>
          <w:tcPr>
            <w:tcW w:w="2500" w:type="pct"/>
          </w:tcPr>
          <w:p w14:paraId="26FEB392" w14:textId="2A44B0B4" w:rsidR="0068691B" w:rsidRPr="00555E5A" w:rsidRDefault="00555E5A" w:rsidP="009639B2">
            <w:pPr>
              <w:rPr>
                <w:sz w:val="18"/>
                <w:szCs w:val="18"/>
              </w:rPr>
            </w:pPr>
            <w:proofErr w:type="spellStart"/>
            <w:r w:rsidRPr="00555E5A">
              <w:rPr>
                <w:sz w:val="18"/>
                <w:szCs w:val="18"/>
              </w:rPr>
              <w:t>Bestuurlijk</w:t>
            </w:r>
            <w:proofErr w:type="spellEnd"/>
            <w:r w:rsidRPr="00555E5A">
              <w:rPr>
                <w:sz w:val="18"/>
                <w:szCs w:val="18"/>
              </w:rPr>
              <w:t xml:space="preserve"> Platform </w:t>
            </w:r>
            <w:proofErr w:type="spellStart"/>
            <w:r w:rsidRPr="00555E5A">
              <w:rPr>
                <w:sz w:val="18"/>
                <w:szCs w:val="18"/>
              </w:rPr>
              <w:t>Zoetwater</w:t>
            </w:r>
            <w:proofErr w:type="spellEnd"/>
            <w:r w:rsidRPr="00555E5A">
              <w:rPr>
                <w:sz w:val="18"/>
                <w:szCs w:val="18"/>
              </w:rPr>
              <w:t xml:space="preserve"> (BPZ)</w:t>
            </w:r>
          </w:p>
        </w:tc>
        <w:tc>
          <w:tcPr>
            <w:tcW w:w="2500" w:type="pct"/>
          </w:tcPr>
          <w:p w14:paraId="1A579BC5" w14:textId="77777777" w:rsidR="00555E5A" w:rsidRPr="00555E5A" w:rsidRDefault="00555E5A" w:rsidP="009639B2">
            <w:pPr>
              <w:rPr>
                <w:sz w:val="18"/>
                <w:szCs w:val="18"/>
              </w:rPr>
            </w:pPr>
            <w:r w:rsidRPr="00555E5A">
              <w:rPr>
                <w:sz w:val="18"/>
                <w:szCs w:val="18"/>
              </w:rPr>
              <w:t>- Advises on the strategy for river plans</w:t>
            </w:r>
          </w:p>
          <w:p w14:paraId="5284122E" w14:textId="66565DC1" w:rsidR="0068691B" w:rsidRPr="00555E5A" w:rsidRDefault="00555E5A" w:rsidP="009639B2">
            <w:pPr>
              <w:rPr>
                <w:sz w:val="18"/>
                <w:szCs w:val="18"/>
              </w:rPr>
            </w:pPr>
            <w:r w:rsidRPr="00555E5A">
              <w:rPr>
                <w:sz w:val="18"/>
                <w:szCs w:val="18"/>
              </w:rPr>
              <w:t xml:space="preserve">- Determines on what the </w:t>
            </w:r>
            <w:proofErr w:type="spellStart"/>
            <w:r w:rsidRPr="00555E5A">
              <w:rPr>
                <w:sz w:val="18"/>
                <w:szCs w:val="18"/>
              </w:rPr>
              <w:t>Deltafondsbudget</w:t>
            </w:r>
            <w:proofErr w:type="spellEnd"/>
            <w:r w:rsidRPr="00555E5A">
              <w:rPr>
                <w:sz w:val="18"/>
                <w:szCs w:val="18"/>
              </w:rPr>
              <w:t xml:space="preserve"> can be spent</w:t>
            </w:r>
          </w:p>
        </w:tc>
      </w:tr>
      <w:tr w:rsidR="0068691B" w14:paraId="1068DB67" w14:textId="77777777" w:rsidTr="009639B2">
        <w:tc>
          <w:tcPr>
            <w:tcW w:w="2500" w:type="pct"/>
          </w:tcPr>
          <w:p w14:paraId="17224A8C" w14:textId="77777777" w:rsidR="0068691B" w:rsidRPr="00555E5A" w:rsidRDefault="0068691B" w:rsidP="009639B2">
            <w:pPr>
              <w:rPr>
                <w:sz w:val="18"/>
                <w:szCs w:val="18"/>
              </w:rPr>
            </w:pPr>
            <w:r w:rsidRPr="00555E5A">
              <w:rPr>
                <w:sz w:val="18"/>
                <w:szCs w:val="18"/>
              </w:rPr>
              <w:t>Rijkswaterstaat</w:t>
            </w:r>
          </w:p>
        </w:tc>
        <w:tc>
          <w:tcPr>
            <w:tcW w:w="2500" w:type="pct"/>
          </w:tcPr>
          <w:p w14:paraId="19928FD0" w14:textId="77777777" w:rsidR="0068691B" w:rsidRPr="00555E5A" w:rsidRDefault="0068691B" w:rsidP="009639B2">
            <w:pPr>
              <w:rPr>
                <w:sz w:val="18"/>
                <w:szCs w:val="18"/>
              </w:rPr>
            </w:pPr>
            <w:r w:rsidRPr="00555E5A">
              <w:rPr>
                <w:sz w:val="18"/>
                <w:szCs w:val="18"/>
              </w:rPr>
              <w:t>- Management of main water defense systems (dikes, dams, storm surge barriers)</w:t>
            </w:r>
          </w:p>
          <w:p w14:paraId="26A3E5D2" w14:textId="77777777" w:rsidR="0068691B" w:rsidRPr="00555E5A" w:rsidRDefault="0068691B" w:rsidP="009639B2">
            <w:pPr>
              <w:rPr>
                <w:sz w:val="18"/>
                <w:szCs w:val="18"/>
              </w:rPr>
            </w:pPr>
            <w:r w:rsidRPr="00555E5A">
              <w:rPr>
                <w:sz w:val="18"/>
                <w:szCs w:val="18"/>
              </w:rPr>
              <w:t>- Evaluating flood risk assessments</w:t>
            </w:r>
          </w:p>
          <w:p w14:paraId="78B47929" w14:textId="77777777" w:rsidR="0068691B" w:rsidRPr="00555E5A" w:rsidRDefault="0068691B" w:rsidP="009639B2">
            <w:pPr>
              <w:rPr>
                <w:sz w:val="18"/>
                <w:szCs w:val="18"/>
              </w:rPr>
            </w:pPr>
            <w:r w:rsidRPr="00555E5A">
              <w:rPr>
                <w:sz w:val="18"/>
                <w:szCs w:val="18"/>
              </w:rPr>
              <w:t>- Designing and implementing flood defense measures</w:t>
            </w:r>
          </w:p>
          <w:p w14:paraId="3E32A9C1" w14:textId="77777777" w:rsidR="0068691B" w:rsidRPr="00555E5A" w:rsidRDefault="0068691B" w:rsidP="009639B2">
            <w:pPr>
              <w:rPr>
                <w:sz w:val="18"/>
                <w:szCs w:val="18"/>
              </w:rPr>
            </w:pPr>
            <w:r w:rsidRPr="00555E5A">
              <w:rPr>
                <w:sz w:val="18"/>
                <w:szCs w:val="18"/>
              </w:rPr>
              <w:t>- Ensuring long-term integrity of infrastructure</w:t>
            </w:r>
          </w:p>
          <w:p w14:paraId="35D9DEE0" w14:textId="77777777" w:rsidR="00555E5A" w:rsidRPr="00555E5A" w:rsidRDefault="00555E5A" w:rsidP="009639B2">
            <w:pPr>
              <w:rPr>
                <w:sz w:val="18"/>
                <w:szCs w:val="18"/>
              </w:rPr>
            </w:pPr>
            <w:r w:rsidRPr="00555E5A">
              <w:rPr>
                <w:sz w:val="18"/>
                <w:szCs w:val="18"/>
              </w:rPr>
              <w:lastRenderedPageBreak/>
              <w:t>- Allocates funding for ML implementation</w:t>
            </w:r>
          </w:p>
          <w:p w14:paraId="3E990BDC" w14:textId="3399FF0A" w:rsidR="00555E5A" w:rsidRPr="00555E5A" w:rsidRDefault="00555E5A" w:rsidP="009639B2">
            <w:pPr>
              <w:rPr>
                <w:sz w:val="18"/>
                <w:szCs w:val="18"/>
              </w:rPr>
            </w:pPr>
            <w:r w:rsidRPr="00555E5A">
              <w:rPr>
                <w:sz w:val="18"/>
                <w:szCs w:val="18"/>
              </w:rPr>
              <w:t>- Establishes regulatory frameworks for ML use in public safety</w:t>
            </w:r>
          </w:p>
        </w:tc>
      </w:tr>
      <w:tr w:rsidR="0068691B" w14:paraId="17F78A40" w14:textId="77777777" w:rsidTr="009639B2">
        <w:tc>
          <w:tcPr>
            <w:tcW w:w="2500" w:type="pct"/>
          </w:tcPr>
          <w:p w14:paraId="21B5C826" w14:textId="77777777" w:rsidR="0068691B" w:rsidRDefault="0068691B" w:rsidP="009639B2">
            <w:pPr>
              <w:rPr>
                <w:sz w:val="18"/>
                <w:szCs w:val="18"/>
              </w:rPr>
            </w:pPr>
            <w:proofErr w:type="spellStart"/>
            <w:r w:rsidRPr="00D36584">
              <w:rPr>
                <w:sz w:val="18"/>
                <w:szCs w:val="18"/>
              </w:rPr>
              <w:lastRenderedPageBreak/>
              <w:t>Waterschappen</w:t>
            </w:r>
            <w:proofErr w:type="spellEnd"/>
          </w:p>
        </w:tc>
        <w:tc>
          <w:tcPr>
            <w:tcW w:w="2500" w:type="pct"/>
          </w:tcPr>
          <w:p w14:paraId="55CC2974" w14:textId="77777777" w:rsidR="0068691B" w:rsidRDefault="0068691B" w:rsidP="009639B2">
            <w:pPr>
              <w:rPr>
                <w:sz w:val="18"/>
                <w:szCs w:val="18"/>
              </w:rPr>
            </w:pPr>
            <w:r w:rsidRPr="00AD21E6">
              <w:rPr>
                <w:sz w:val="18"/>
                <w:szCs w:val="18"/>
              </w:rPr>
              <w:t>- Management of regional water systems (canals, dikes)</w:t>
            </w:r>
          </w:p>
          <w:p w14:paraId="145F2434" w14:textId="77777777" w:rsidR="0068691B" w:rsidRDefault="0068691B" w:rsidP="009639B2">
            <w:pPr>
              <w:rPr>
                <w:sz w:val="18"/>
                <w:szCs w:val="18"/>
              </w:rPr>
            </w:pPr>
            <w:r w:rsidRPr="00A32BB8">
              <w:rPr>
                <w:sz w:val="18"/>
                <w:szCs w:val="18"/>
              </w:rPr>
              <w:t>- Ensuring water quality and quantity</w:t>
            </w:r>
          </w:p>
          <w:p w14:paraId="59877626" w14:textId="77777777" w:rsidR="0068691B" w:rsidRDefault="0068691B" w:rsidP="009639B2">
            <w:pPr>
              <w:rPr>
                <w:sz w:val="18"/>
                <w:szCs w:val="18"/>
              </w:rPr>
            </w:pPr>
            <w:r w:rsidRPr="00A32BB8">
              <w:rPr>
                <w:sz w:val="18"/>
                <w:szCs w:val="18"/>
              </w:rPr>
              <w:t>- Implementing regional flood protection and wastewater treatment</w:t>
            </w:r>
          </w:p>
          <w:p w14:paraId="20FCA94C" w14:textId="743D7E5C" w:rsidR="00555E5A" w:rsidRDefault="00555E5A" w:rsidP="009639B2">
            <w:pPr>
              <w:rPr>
                <w:sz w:val="18"/>
                <w:szCs w:val="18"/>
              </w:rPr>
            </w:pPr>
            <w:r w:rsidRPr="00555E5A">
              <w:rPr>
                <w:sz w:val="18"/>
                <w:szCs w:val="18"/>
              </w:rPr>
              <w:t>- Leverages AI for real-time data analysis and predictive maintenance of water systems</w:t>
            </w:r>
          </w:p>
        </w:tc>
      </w:tr>
      <w:tr w:rsidR="0068691B" w14:paraId="2D0D62B1" w14:textId="77777777" w:rsidTr="009639B2">
        <w:tc>
          <w:tcPr>
            <w:tcW w:w="2500" w:type="pct"/>
          </w:tcPr>
          <w:p w14:paraId="0E7F713A" w14:textId="37DD098D" w:rsidR="0068691B" w:rsidRPr="00555E5A" w:rsidRDefault="00555E5A" w:rsidP="00555E5A">
            <w:pPr>
              <w:rPr>
                <w:sz w:val="18"/>
                <w:szCs w:val="18"/>
              </w:rPr>
            </w:pPr>
            <w:r w:rsidRPr="00555E5A">
              <w:rPr>
                <w:sz w:val="18"/>
                <w:szCs w:val="18"/>
              </w:rPr>
              <w:t xml:space="preserve">Slim </w:t>
            </w:r>
            <w:proofErr w:type="spellStart"/>
            <w:r w:rsidRPr="00555E5A">
              <w:rPr>
                <w:sz w:val="18"/>
                <w:szCs w:val="18"/>
              </w:rPr>
              <w:t>Watermanagement</w:t>
            </w:r>
            <w:proofErr w:type="spellEnd"/>
            <w:r w:rsidRPr="00555E5A">
              <w:rPr>
                <w:sz w:val="18"/>
                <w:szCs w:val="18"/>
              </w:rPr>
              <w:t xml:space="preserve"> (Slim WM)</w:t>
            </w:r>
          </w:p>
        </w:tc>
        <w:tc>
          <w:tcPr>
            <w:tcW w:w="2500" w:type="pct"/>
          </w:tcPr>
          <w:p w14:paraId="46CC7766" w14:textId="1E1DC67D" w:rsidR="0068691B" w:rsidRPr="00555E5A" w:rsidRDefault="0068691B" w:rsidP="00555E5A">
            <w:pPr>
              <w:rPr>
                <w:sz w:val="18"/>
                <w:szCs w:val="18"/>
              </w:rPr>
            </w:pPr>
            <w:r w:rsidRPr="00555E5A">
              <w:rPr>
                <w:sz w:val="18"/>
                <w:szCs w:val="18"/>
              </w:rPr>
              <w:t>-</w:t>
            </w:r>
            <w:r w:rsidR="00555E5A" w:rsidRPr="00555E5A">
              <w:rPr>
                <w:rFonts w:hint="eastAsia"/>
                <w:sz w:val="18"/>
                <w:szCs w:val="18"/>
              </w:rPr>
              <w:t xml:space="preserve"> </w:t>
            </w:r>
            <w:r w:rsidR="00555E5A" w:rsidRPr="00555E5A">
              <w:rPr>
                <w:sz w:val="18"/>
                <w:szCs w:val="18"/>
              </w:rPr>
              <w:t>Supports regional water authorities with the implementation of national policies and plans</w:t>
            </w:r>
          </w:p>
        </w:tc>
      </w:tr>
      <w:tr w:rsidR="0068691B" w14:paraId="1B9E0621" w14:textId="77777777" w:rsidTr="009639B2">
        <w:tc>
          <w:tcPr>
            <w:tcW w:w="2500" w:type="pct"/>
          </w:tcPr>
          <w:p w14:paraId="758FE395" w14:textId="6DACB8AB" w:rsidR="0068691B" w:rsidRPr="00555E5A" w:rsidRDefault="00555E5A" w:rsidP="00555E5A">
            <w:pPr>
              <w:rPr>
                <w:sz w:val="18"/>
                <w:szCs w:val="18"/>
              </w:rPr>
            </w:pPr>
            <w:r w:rsidRPr="00555E5A">
              <w:rPr>
                <w:sz w:val="18"/>
                <w:szCs w:val="18"/>
              </w:rPr>
              <w:t xml:space="preserve">Regional Water Authority </w:t>
            </w:r>
            <w:proofErr w:type="spellStart"/>
            <w:r w:rsidRPr="00555E5A">
              <w:rPr>
                <w:sz w:val="18"/>
                <w:szCs w:val="18"/>
              </w:rPr>
              <w:t>Brabantse</w:t>
            </w:r>
            <w:proofErr w:type="spellEnd"/>
            <w:r w:rsidRPr="00555E5A">
              <w:rPr>
                <w:sz w:val="18"/>
                <w:szCs w:val="18"/>
              </w:rPr>
              <w:t xml:space="preserve"> Delta</w:t>
            </w:r>
          </w:p>
        </w:tc>
        <w:tc>
          <w:tcPr>
            <w:tcW w:w="2500" w:type="pct"/>
          </w:tcPr>
          <w:p w14:paraId="032CBFDC" w14:textId="77777777" w:rsidR="00555E5A" w:rsidRDefault="0068691B" w:rsidP="00555E5A">
            <w:pPr>
              <w:rPr>
                <w:sz w:val="18"/>
                <w:szCs w:val="18"/>
              </w:rPr>
            </w:pPr>
            <w:r w:rsidRPr="00555E5A">
              <w:rPr>
                <w:sz w:val="18"/>
                <w:szCs w:val="18"/>
              </w:rPr>
              <w:t>-</w:t>
            </w:r>
            <w:r w:rsidR="00555E5A" w:rsidRPr="00555E5A">
              <w:t xml:space="preserve"> </w:t>
            </w:r>
            <w:r w:rsidR="00555E5A" w:rsidRPr="00555E5A">
              <w:rPr>
                <w:sz w:val="18"/>
                <w:szCs w:val="18"/>
              </w:rPr>
              <w:t>Takes initiative on implementing modeling for policies in its water region</w:t>
            </w:r>
          </w:p>
          <w:p w14:paraId="48CE7FEC" w14:textId="77777777" w:rsidR="00555E5A" w:rsidRDefault="00555E5A" w:rsidP="00555E5A">
            <w:pPr>
              <w:rPr>
                <w:sz w:val="18"/>
                <w:szCs w:val="18"/>
              </w:rPr>
            </w:pPr>
            <w:r w:rsidRPr="00555E5A">
              <w:rPr>
                <w:sz w:val="18"/>
                <w:szCs w:val="18"/>
              </w:rPr>
              <w:t>- Ensures good water quality&lt;</w:t>
            </w:r>
            <w:proofErr w:type="spellStart"/>
            <w:r w:rsidRPr="00555E5A">
              <w:rPr>
                <w:sz w:val="18"/>
                <w:szCs w:val="18"/>
              </w:rPr>
              <w:t>br</w:t>
            </w:r>
            <w:proofErr w:type="spellEnd"/>
            <w:r w:rsidRPr="00555E5A">
              <w:rPr>
                <w:sz w:val="18"/>
                <w:szCs w:val="18"/>
              </w:rPr>
              <w:t>&gt;- Ensures sufficient water supply for irrigation</w:t>
            </w:r>
          </w:p>
          <w:p w14:paraId="79D27F3E" w14:textId="77777777" w:rsidR="00555E5A" w:rsidRDefault="00555E5A" w:rsidP="00555E5A">
            <w:pPr>
              <w:rPr>
                <w:sz w:val="18"/>
                <w:szCs w:val="18"/>
              </w:rPr>
            </w:pPr>
            <w:r w:rsidRPr="00555E5A">
              <w:rPr>
                <w:sz w:val="18"/>
                <w:szCs w:val="18"/>
              </w:rPr>
              <w:t>- Implements regional flood control measures</w:t>
            </w:r>
          </w:p>
          <w:p w14:paraId="2C1ACFAE" w14:textId="109C9D5E" w:rsidR="0068691B" w:rsidRPr="00555E5A" w:rsidRDefault="00555E5A" w:rsidP="00555E5A">
            <w:pPr>
              <w:rPr>
                <w:sz w:val="18"/>
                <w:szCs w:val="18"/>
              </w:rPr>
            </w:pPr>
            <w:r w:rsidRPr="00555E5A">
              <w:rPr>
                <w:sz w:val="18"/>
                <w:szCs w:val="18"/>
              </w:rPr>
              <w:t>- Manages sewage treatment</w:t>
            </w:r>
          </w:p>
        </w:tc>
      </w:tr>
      <w:tr w:rsidR="0068691B" w14:paraId="160E9EA4" w14:textId="77777777" w:rsidTr="009639B2">
        <w:tc>
          <w:tcPr>
            <w:tcW w:w="2500" w:type="pct"/>
          </w:tcPr>
          <w:p w14:paraId="185DD125" w14:textId="6FAA7E42" w:rsidR="0068691B" w:rsidRPr="00555E5A" w:rsidRDefault="00555E5A" w:rsidP="00555E5A">
            <w:pPr>
              <w:rPr>
                <w:sz w:val="18"/>
                <w:szCs w:val="18"/>
              </w:rPr>
            </w:pPr>
            <w:r w:rsidRPr="00555E5A">
              <w:rPr>
                <w:sz w:val="18"/>
                <w:szCs w:val="18"/>
              </w:rPr>
              <w:t xml:space="preserve">Research Institutes (e.g., </w:t>
            </w:r>
            <w:proofErr w:type="spellStart"/>
            <w:r w:rsidRPr="00555E5A">
              <w:rPr>
                <w:sz w:val="18"/>
                <w:szCs w:val="18"/>
              </w:rPr>
              <w:t>Deltares</w:t>
            </w:r>
            <w:proofErr w:type="spellEnd"/>
            <w:r w:rsidRPr="00555E5A">
              <w:rPr>
                <w:sz w:val="18"/>
                <w:szCs w:val="18"/>
              </w:rPr>
              <w:t>)</w:t>
            </w:r>
          </w:p>
        </w:tc>
        <w:tc>
          <w:tcPr>
            <w:tcW w:w="2500" w:type="pct"/>
          </w:tcPr>
          <w:p w14:paraId="3678D71C" w14:textId="77777777" w:rsidR="00555E5A" w:rsidRDefault="00555E5A" w:rsidP="00555E5A">
            <w:pPr>
              <w:rPr>
                <w:sz w:val="18"/>
                <w:szCs w:val="18"/>
              </w:rPr>
            </w:pPr>
            <w:r w:rsidRPr="00555E5A">
              <w:rPr>
                <w:sz w:val="18"/>
                <w:szCs w:val="18"/>
              </w:rPr>
              <w:t>- Conducts studies</w:t>
            </w:r>
          </w:p>
          <w:p w14:paraId="52DFB586" w14:textId="77777777" w:rsidR="00555E5A" w:rsidRDefault="00555E5A" w:rsidP="00555E5A">
            <w:pPr>
              <w:rPr>
                <w:sz w:val="18"/>
                <w:szCs w:val="18"/>
              </w:rPr>
            </w:pPr>
            <w:r w:rsidRPr="00555E5A">
              <w:rPr>
                <w:sz w:val="18"/>
                <w:szCs w:val="18"/>
              </w:rPr>
              <w:t>- Publishes findings on AI effectiveness</w:t>
            </w:r>
          </w:p>
          <w:p w14:paraId="2119C9E6" w14:textId="77777777" w:rsidR="00555E5A" w:rsidRDefault="00555E5A" w:rsidP="00555E5A">
            <w:pPr>
              <w:rPr>
                <w:sz w:val="18"/>
                <w:szCs w:val="18"/>
              </w:rPr>
            </w:pPr>
            <w:r w:rsidRPr="00555E5A">
              <w:rPr>
                <w:sz w:val="18"/>
                <w:szCs w:val="18"/>
              </w:rPr>
              <w:t>- Recommends best practices&lt;</w:t>
            </w:r>
          </w:p>
          <w:p w14:paraId="7AE09DB2" w14:textId="2185B266" w:rsidR="0068691B" w:rsidRPr="00555E5A" w:rsidRDefault="00555E5A" w:rsidP="00555E5A">
            <w:pPr>
              <w:rPr>
                <w:sz w:val="18"/>
                <w:szCs w:val="18"/>
              </w:rPr>
            </w:pPr>
            <w:r w:rsidRPr="00555E5A">
              <w:rPr>
                <w:sz w:val="18"/>
                <w:szCs w:val="18"/>
              </w:rPr>
              <w:t>- Ensures AI tools are scientifically sound and practically applicable</w:t>
            </w:r>
          </w:p>
        </w:tc>
      </w:tr>
      <w:tr w:rsidR="0068691B" w14:paraId="6C393966" w14:textId="77777777" w:rsidTr="009639B2">
        <w:tc>
          <w:tcPr>
            <w:tcW w:w="2500" w:type="pct"/>
          </w:tcPr>
          <w:p w14:paraId="49E8BF7C" w14:textId="77777777" w:rsidR="0068691B" w:rsidRPr="00F364BA" w:rsidRDefault="0068691B" w:rsidP="009639B2">
            <w:pPr>
              <w:widowControl/>
              <w:spacing w:line="21" w:lineRule="atLeast"/>
              <w:jc w:val="left"/>
              <w:textAlignment w:val="baseline"/>
              <w:rPr>
                <w:rFonts w:ascii="Segoe UI" w:eastAsia="Segoe UI" w:hAnsi="Segoe UI" w:cs="Segoe UI"/>
                <w:color w:val="0D0D0D"/>
                <w:kern w:val="0"/>
                <w:sz w:val="18"/>
                <w:szCs w:val="18"/>
                <w:lang w:bidi="ar"/>
              </w:rPr>
            </w:pPr>
            <w:r>
              <w:rPr>
                <w:rFonts w:ascii="Segoe UI" w:eastAsia="Segoe UI" w:hAnsi="Segoe UI" w:cs="Segoe UI"/>
                <w:color w:val="0D0D0D"/>
                <w:kern w:val="0"/>
                <w:sz w:val="18"/>
                <w:szCs w:val="18"/>
                <w:lang w:bidi="ar"/>
              </w:rPr>
              <w:t>Citizens/Communities</w:t>
            </w:r>
          </w:p>
        </w:tc>
        <w:tc>
          <w:tcPr>
            <w:tcW w:w="2500" w:type="pct"/>
          </w:tcPr>
          <w:p w14:paraId="0106E3F3" w14:textId="77777777" w:rsidR="0068691B" w:rsidRDefault="0068691B" w:rsidP="009639B2">
            <w:pPr>
              <w:widowControl/>
              <w:spacing w:line="21" w:lineRule="atLeast"/>
              <w:jc w:val="left"/>
              <w:textAlignment w:val="baseline"/>
              <w:rPr>
                <w:rFonts w:ascii="Segoe UI" w:eastAsia="Segoe UI" w:hAnsi="Segoe UI" w:cs="Segoe UI"/>
                <w:color w:val="0D0D0D"/>
                <w:kern w:val="0"/>
                <w:sz w:val="18"/>
                <w:szCs w:val="18"/>
                <w:lang w:bidi="ar"/>
              </w:rPr>
            </w:pPr>
            <w:r>
              <w:rPr>
                <w:rFonts w:ascii="Segoe UI" w:eastAsia="Segoe UI" w:hAnsi="Segoe UI" w:cs="Segoe UI"/>
                <w:color w:val="0D0D0D"/>
                <w:kern w:val="0"/>
                <w:sz w:val="18"/>
                <w:szCs w:val="18"/>
                <w:lang w:bidi="ar"/>
              </w:rPr>
              <w:t>- Concerns regarding evacuation plans</w:t>
            </w:r>
          </w:p>
          <w:p w14:paraId="006383F9" w14:textId="77777777" w:rsidR="0068691B" w:rsidRPr="00F364BA" w:rsidRDefault="0068691B" w:rsidP="009639B2">
            <w:pPr>
              <w:widowControl/>
              <w:spacing w:line="21" w:lineRule="atLeast"/>
              <w:jc w:val="left"/>
              <w:textAlignment w:val="baseline"/>
              <w:rPr>
                <w:rFonts w:ascii="Segoe UI" w:eastAsia="Segoe UI" w:hAnsi="Segoe UI" w:cs="Segoe UI"/>
                <w:color w:val="0D0D0D"/>
                <w:kern w:val="0"/>
                <w:sz w:val="18"/>
                <w:szCs w:val="18"/>
                <w:lang w:bidi="ar"/>
              </w:rPr>
            </w:pPr>
            <w:r>
              <w:rPr>
                <w:rFonts w:ascii="Segoe UI" w:eastAsia="Segoe UI" w:hAnsi="Segoe UI" w:cs="Segoe UI"/>
                <w:color w:val="0D0D0D"/>
                <w:kern w:val="0"/>
                <w:sz w:val="18"/>
                <w:szCs w:val="18"/>
                <w:lang w:bidi="ar"/>
              </w:rPr>
              <w:t>- Potential disruptions</w:t>
            </w:r>
          </w:p>
          <w:p w14:paraId="51AD5761" w14:textId="77777777" w:rsidR="00555E5A" w:rsidRDefault="0068691B" w:rsidP="009639B2">
            <w:pPr>
              <w:widowControl/>
              <w:spacing w:line="21" w:lineRule="atLeast"/>
              <w:jc w:val="left"/>
              <w:textAlignment w:val="baseline"/>
              <w:rPr>
                <w:rFonts w:ascii="Segoe UI" w:hAnsi="Segoe UI" w:cs="Segoe UI"/>
                <w:color w:val="0D0D0D"/>
                <w:kern w:val="0"/>
                <w:sz w:val="18"/>
                <w:szCs w:val="18"/>
                <w:lang w:bidi="ar"/>
              </w:rPr>
            </w:pPr>
            <w:r>
              <w:rPr>
                <w:rFonts w:ascii="Segoe UI" w:eastAsia="Segoe UI" w:hAnsi="Segoe UI" w:cs="Segoe UI"/>
                <w:color w:val="0D0D0D"/>
                <w:kern w:val="0"/>
                <w:sz w:val="18"/>
                <w:szCs w:val="18"/>
                <w:lang w:bidi="ar"/>
              </w:rPr>
              <w:t>-</w:t>
            </w:r>
            <w:r w:rsidR="00555E5A" w:rsidRPr="00555E5A">
              <w:t xml:space="preserve"> </w:t>
            </w:r>
            <w:r w:rsidR="00555E5A" w:rsidRPr="00555E5A">
              <w:rPr>
                <w:rFonts w:ascii="Segoe UI" w:eastAsia="Segoe UI" w:hAnsi="Segoe UI" w:cs="Segoe UI"/>
                <w:color w:val="0D0D0D"/>
                <w:kern w:val="0"/>
                <w:sz w:val="18"/>
                <w:szCs w:val="18"/>
                <w:lang w:bidi="ar"/>
              </w:rPr>
              <w:t>Influenced by decisions made by water authorities and municipalities</w:t>
            </w:r>
          </w:p>
          <w:p w14:paraId="04CA9EC2" w14:textId="7BF719FF" w:rsidR="0068691B" w:rsidRPr="00F364BA" w:rsidRDefault="00555E5A" w:rsidP="009639B2">
            <w:pPr>
              <w:widowControl/>
              <w:spacing w:line="21" w:lineRule="atLeast"/>
              <w:jc w:val="left"/>
              <w:textAlignment w:val="baseline"/>
              <w:rPr>
                <w:rFonts w:ascii="Segoe UI" w:eastAsia="Segoe UI" w:hAnsi="Segoe UI" w:cs="Segoe UI"/>
                <w:color w:val="0D0D0D"/>
                <w:kern w:val="0"/>
                <w:sz w:val="18"/>
                <w:szCs w:val="18"/>
                <w:lang w:bidi="ar"/>
              </w:rPr>
            </w:pPr>
            <w:r w:rsidRPr="00555E5A">
              <w:rPr>
                <w:rFonts w:ascii="Segoe UI" w:eastAsia="Segoe UI" w:hAnsi="Segoe UI" w:cs="Segoe UI"/>
                <w:color w:val="0D0D0D"/>
                <w:kern w:val="0"/>
                <w:sz w:val="18"/>
                <w:szCs w:val="18"/>
                <w:lang w:bidi="ar"/>
              </w:rPr>
              <w:t>- Highly affected by policies on water use set by water authorities</w:t>
            </w:r>
          </w:p>
        </w:tc>
      </w:tr>
      <w:tr w:rsidR="0068691B" w14:paraId="48AED0BB" w14:textId="77777777" w:rsidTr="009639B2">
        <w:tc>
          <w:tcPr>
            <w:tcW w:w="2500" w:type="pct"/>
          </w:tcPr>
          <w:p w14:paraId="6A5BE5F9" w14:textId="5DA18AA9" w:rsidR="0068691B" w:rsidRPr="00F364BA" w:rsidRDefault="00555E5A" w:rsidP="009639B2">
            <w:pPr>
              <w:widowControl/>
              <w:spacing w:line="21" w:lineRule="atLeast"/>
              <w:jc w:val="left"/>
              <w:textAlignment w:val="baseline"/>
              <w:rPr>
                <w:rFonts w:ascii="Segoe UI" w:eastAsia="Segoe UI" w:hAnsi="Segoe UI" w:cs="Segoe UI"/>
                <w:color w:val="0D0D0D"/>
                <w:kern w:val="0"/>
                <w:sz w:val="18"/>
                <w:szCs w:val="18"/>
                <w:lang w:bidi="ar"/>
              </w:rPr>
            </w:pPr>
            <w:r w:rsidRPr="00555E5A">
              <w:rPr>
                <w:rFonts w:ascii="Segoe UI" w:eastAsia="Segoe UI" w:hAnsi="Segoe UI" w:cs="Segoe UI"/>
                <w:color w:val="0D0D0D"/>
                <w:kern w:val="0"/>
                <w:sz w:val="18"/>
                <w:szCs w:val="18"/>
                <w:lang w:bidi="ar"/>
              </w:rPr>
              <w:lastRenderedPageBreak/>
              <w:t>Municipalities</w:t>
            </w:r>
          </w:p>
        </w:tc>
        <w:tc>
          <w:tcPr>
            <w:tcW w:w="2500" w:type="pct"/>
          </w:tcPr>
          <w:p w14:paraId="1EB73E1B" w14:textId="77777777" w:rsidR="00555E5A" w:rsidRDefault="00555E5A" w:rsidP="00555E5A">
            <w:pPr>
              <w:widowControl/>
              <w:spacing w:line="21" w:lineRule="atLeast"/>
              <w:jc w:val="left"/>
              <w:textAlignment w:val="baseline"/>
              <w:rPr>
                <w:rFonts w:ascii="Segoe UI" w:hAnsi="Segoe UI" w:cs="Segoe UI"/>
                <w:color w:val="0D0D0D"/>
                <w:kern w:val="0"/>
                <w:sz w:val="18"/>
                <w:szCs w:val="18"/>
                <w:lang w:bidi="ar"/>
              </w:rPr>
            </w:pPr>
            <w:r w:rsidRPr="00555E5A">
              <w:rPr>
                <w:rFonts w:ascii="Segoe UI" w:eastAsia="Segoe UI" w:hAnsi="Segoe UI" w:cs="Segoe UI"/>
                <w:color w:val="0D0D0D"/>
                <w:kern w:val="0"/>
                <w:sz w:val="18"/>
                <w:szCs w:val="18"/>
                <w:lang w:bidi="ar"/>
              </w:rPr>
              <w:t>- Affected by decisions made by water authorities, particularly in drought situations</w:t>
            </w:r>
          </w:p>
          <w:p w14:paraId="35D1B238" w14:textId="04507C25" w:rsidR="0068691B" w:rsidRPr="00555E5A" w:rsidRDefault="00555E5A" w:rsidP="00555E5A">
            <w:pPr>
              <w:widowControl/>
              <w:spacing w:line="21" w:lineRule="atLeast"/>
              <w:jc w:val="left"/>
              <w:textAlignment w:val="baseline"/>
              <w:rPr>
                <w:rFonts w:ascii="Segoe UI" w:hAnsi="Segoe UI" w:cs="Segoe UI" w:hint="eastAsia"/>
                <w:color w:val="0D0D0D"/>
                <w:kern w:val="0"/>
                <w:sz w:val="18"/>
                <w:szCs w:val="18"/>
                <w:lang w:bidi="ar"/>
              </w:rPr>
            </w:pPr>
            <w:r w:rsidRPr="00555E5A">
              <w:rPr>
                <w:rFonts w:ascii="Segoe UI" w:eastAsia="Segoe UI" w:hAnsi="Segoe UI" w:cs="Segoe UI"/>
                <w:color w:val="0D0D0D"/>
                <w:kern w:val="0"/>
                <w:sz w:val="18"/>
                <w:szCs w:val="18"/>
                <w:lang w:bidi="ar"/>
              </w:rPr>
              <w:t xml:space="preserve">- Media coverage highlighted dissatisfaction among farmers regarding irrigation bans set by the water authority </w:t>
            </w:r>
            <w:proofErr w:type="spellStart"/>
            <w:r w:rsidRPr="00555E5A">
              <w:rPr>
                <w:rFonts w:ascii="Segoe UI" w:eastAsia="Segoe UI" w:hAnsi="Segoe UI" w:cs="Segoe UI"/>
                <w:color w:val="0D0D0D"/>
                <w:kern w:val="0"/>
                <w:sz w:val="18"/>
                <w:szCs w:val="18"/>
                <w:lang w:bidi="ar"/>
              </w:rPr>
              <w:t>Brabantse</w:t>
            </w:r>
            <w:proofErr w:type="spellEnd"/>
            <w:r w:rsidRPr="00555E5A">
              <w:rPr>
                <w:rFonts w:ascii="Segoe UI" w:eastAsia="Segoe UI" w:hAnsi="Segoe UI" w:cs="Segoe UI"/>
                <w:color w:val="0D0D0D"/>
                <w:kern w:val="0"/>
                <w:sz w:val="18"/>
                <w:szCs w:val="18"/>
                <w:lang w:bidi="ar"/>
              </w:rPr>
              <w:t xml:space="preserve"> Delta</w:t>
            </w:r>
            <w:r w:rsidRPr="00555E5A">
              <w:rPr>
                <w:rFonts w:ascii="Segoe UI" w:eastAsia="Segoe UI" w:hAnsi="Segoe UI" w:cs="Segoe UI"/>
                <w:color w:val="0D0D0D"/>
                <w:kern w:val="0"/>
                <w:sz w:val="18"/>
                <w:szCs w:val="18"/>
                <w:lang w:bidi="ar"/>
              </w:rPr>
              <w:t xml:space="preserve"> </w:t>
            </w:r>
          </w:p>
        </w:tc>
      </w:tr>
      <w:tr w:rsidR="0068691B" w14:paraId="53B59EF3" w14:textId="77777777" w:rsidTr="009639B2">
        <w:tc>
          <w:tcPr>
            <w:tcW w:w="2500" w:type="pct"/>
          </w:tcPr>
          <w:p w14:paraId="758A6D39" w14:textId="06B9C563" w:rsidR="0068691B" w:rsidRPr="00F364BA" w:rsidRDefault="00555E5A" w:rsidP="009639B2">
            <w:pPr>
              <w:widowControl/>
              <w:spacing w:line="21" w:lineRule="atLeast"/>
              <w:jc w:val="left"/>
              <w:textAlignment w:val="baseline"/>
              <w:rPr>
                <w:rFonts w:ascii="Segoe UI" w:eastAsia="Segoe UI" w:hAnsi="Segoe UI" w:cs="Segoe UI"/>
                <w:color w:val="0D0D0D"/>
                <w:kern w:val="0"/>
                <w:sz w:val="18"/>
                <w:szCs w:val="18"/>
                <w:lang w:bidi="ar"/>
              </w:rPr>
            </w:pPr>
            <w:r w:rsidRPr="00555E5A">
              <w:rPr>
                <w:rFonts w:ascii="Segoe UI" w:eastAsia="Segoe UI" w:hAnsi="Segoe UI" w:cs="Segoe UI"/>
                <w:color w:val="0D0D0D"/>
                <w:kern w:val="0"/>
                <w:sz w:val="18"/>
                <w:szCs w:val="18"/>
                <w:lang w:bidi="ar"/>
              </w:rPr>
              <w:t>Media</w:t>
            </w:r>
          </w:p>
        </w:tc>
        <w:tc>
          <w:tcPr>
            <w:tcW w:w="2500" w:type="pct"/>
          </w:tcPr>
          <w:p w14:paraId="41437393" w14:textId="6B3CA1BB" w:rsidR="0068691B" w:rsidRPr="00F364BA" w:rsidRDefault="00555E5A" w:rsidP="009639B2">
            <w:pPr>
              <w:widowControl/>
              <w:spacing w:line="21" w:lineRule="atLeast"/>
              <w:jc w:val="left"/>
              <w:textAlignment w:val="baseline"/>
              <w:rPr>
                <w:rFonts w:ascii="Segoe UI" w:eastAsia="Segoe UI" w:hAnsi="Segoe UI" w:cs="Segoe UI"/>
                <w:color w:val="0D0D0D"/>
                <w:kern w:val="0"/>
                <w:sz w:val="18"/>
                <w:szCs w:val="18"/>
                <w:lang w:bidi="ar"/>
              </w:rPr>
            </w:pPr>
            <w:r w:rsidRPr="00555E5A">
              <w:rPr>
                <w:rFonts w:ascii="Segoe UI" w:eastAsia="Segoe UI" w:hAnsi="Segoe UI" w:cs="Segoe UI"/>
                <w:color w:val="0D0D0D"/>
                <w:kern w:val="0"/>
                <w:sz w:val="18"/>
                <w:szCs w:val="18"/>
                <w:lang w:bidi="ar"/>
              </w:rPr>
              <w:t>- Provides public opinion and communication</w:t>
            </w:r>
          </w:p>
        </w:tc>
      </w:tr>
    </w:tbl>
    <w:p w14:paraId="799FB43A" w14:textId="77777777" w:rsidR="0068691B" w:rsidRDefault="0068691B" w:rsidP="0068691B"/>
    <w:p w14:paraId="7ED2211C" w14:textId="77777777" w:rsidR="0068691B" w:rsidRDefault="0068691B" w:rsidP="0068691B">
      <w:pPr>
        <w:pStyle w:val="3"/>
      </w:pPr>
      <w:r>
        <w:rPr>
          <w:rFonts w:hint="eastAsia"/>
        </w:rPr>
        <w:t xml:space="preserve">2.1.1 </w:t>
      </w:r>
      <w:r>
        <w:t>Power-Interest Chart</w:t>
      </w:r>
    </w:p>
    <w:p w14:paraId="5E4D1BBE" w14:textId="77777777" w:rsidR="0068691B" w:rsidRDefault="0068691B" w:rsidP="0068691B">
      <w:pPr>
        <w:widowControl/>
        <w:spacing w:line="21" w:lineRule="atLeast"/>
        <w:textAlignment w:val="baseline"/>
      </w:pPr>
      <w:r>
        <w:rPr>
          <w:rFonts w:hint="eastAsia"/>
        </w:rPr>
        <w:t xml:space="preserve">The Power-Interest Chart is a common tool for stakeholder analysis. Its idea and application can be traced back to Mendelow's Stakeholder Mapping Model, which was first proposed in a conference paper in 1981 [https://web.archive.org/web/20220306155706id_/https://aisel.aisnet.org/cgi/viewcontent.cgi?article=1009&amp;context=icis1981]. </w:t>
      </w:r>
      <w:r>
        <w:t>According to existing literature and information, flood mitigation design in the Netherlands involves stakeholders at multiple levels, including national, regional, and local government agencies mentioned in the previous section, as well as companies, research institutes, and citizen communities. The following is an analysis of the main stakeholders and their interests:</w:t>
      </w:r>
    </w:p>
    <w:tbl>
      <w:tblPr>
        <w:tblStyle w:val="ab"/>
        <w:tblW w:w="6800" w:type="dxa"/>
        <w:tblLayout w:type="fixed"/>
        <w:tblLook w:val="04A0" w:firstRow="1" w:lastRow="0" w:firstColumn="1" w:lastColumn="0" w:noHBand="0" w:noVBand="1"/>
      </w:tblPr>
      <w:tblGrid>
        <w:gridCol w:w="1889"/>
        <w:gridCol w:w="670"/>
        <w:gridCol w:w="778"/>
        <w:gridCol w:w="1411"/>
        <w:gridCol w:w="2052"/>
      </w:tblGrid>
      <w:tr w:rsidR="00555E5A" w14:paraId="20ED8D96" w14:textId="77777777" w:rsidTr="00555E5A">
        <w:tc>
          <w:tcPr>
            <w:tcW w:w="1889" w:type="dxa"/>
            <w:vAlign w:val="bottom"/>
          </w:tcPr>
          <w:p w14:paraId="38FB1FC4" w14:textId="7ADC909C" w:rsidR="00555E5A" w:rsidRDefault="00555E5A" w:rsidP="009639B2">
            <w:pPr>
              <w:widowControl/>
              <w:spacing w:line="21" w:lineRule="atLeast"/>
              <w:jc w:val="left"/>
              <w:textAlignment w:val="baseline"/>
              <w:rPr>
                <w:sz w:val="18"/>
                <w:szCs w:val="18"/>
              </w:rPr>
            </w:pPr>
            <w:r w:rsidRPr="00555E5A">
              <w:rPr>
                <w:sz w:val="18"/>
                <w:szCs w:val="18"/>
              </w:rPr>
              <w:t>Actor and Stakeholder</w:t>
            </w:r>
          </w:p>
        </w:tc>
        <w:tc>
          <w:tcPr>
            <w:tcW w:w="670" w:type="dxa"/>
            <w:vAlign w:val="bottom"/>
          </w:tcPr>
          <w:p w14:paraId="14FE7D3E" w14:textId="77777777" w:rsidR="00555E5A" w:rsidRDefault="00555E5A" w:rsidP="009639B2">
            <w:pPr>
              <w:widowControl/>
              <w:spacing w:line="21" w:lineRule="atLeast"/>
              <w:jc w:val="left"/>
              <w:textAlignment w:val="baseline"/>
              <w:rPr>
                <w:sz w:val="18"/>
                <w:szCs w:val="18"/>
              </w:rPr>
            </w:pPr>
            <w:r>
              <w:rPr>
                <w:sz w:val="18"/>
                <w:szCs w:val="18"/>
              </w:rPr>
              <w:t>Power</w:t>
            </w:r>
          </w:p>
        </w:tc>
        <w:tc>
          <w:tcPr>
            <w:tcW w:w="778" w:type="dxa"/>
            <w:vAlign w:val="bottom"/>
          </w:tcPr>
          <w:p w14:paraId="0217819A" w14:textId="77777777" w:rsidR="00555E5A" w:rsidRDefault="00555E5A" w:rsidP="009639B2">
            <w:pPr>
              <w:widowControl/>
              <w:spacing w:line="21" w:lineRule="atLeast"/>
              <w:jc w:val="left"/>
              <w:textAlignment w:val="baseline"/>
              <w:rPr>
                <w:sz w:val="18"/>
                <w:szCs w:val="18"/>
              </w:rPr>
            </w:pPr>
            <w:r>
              <w:rPr>
                <w:sz w:val="18"/>
                <w:szCs w:val="18"/>
              </w:rPr>
              <w:t>Interest</w:t>
            </w:r>
          </w:p>
        </w:tc>
        <w:tc>
          <w:tcPr>
            <w:tcW w:w="1411" w:type="dxa"/>
            <w:vAlign w:val="bottom"/>
          </w:tcPr>
          <w:p w14:paraId="5AD3AEC3" w14:textId="77777777" w:rsidR="00555E5A" w:rsidRDefault="00555E5A" w:rsidP="009639B2">
            <w:pPr>
              <w:widowControl/>
              <w:spacing w:line="21" w:lineRule="atLeast"/>
              <w:jc w:val="left"/>
              <w:textAlignment w:val="baseline"/>
              <w:rPr>
                <w:sz w:val="18"/>
                <w:szCs w:val="18"/>
              </w:rPr>
            </w:pPr>
            <w:r>
              <w:rPr>
                <w:sz w:val="18"/>
                <w:szCs w:val="18"/>
              </w:rPr>
              <w:t>Position in Matrix</w:t>
            </w:r>
          </w:p>
        </w:tc>
        <w:tc>
          <w:tcPr>
            <w:tcW w:w="2052" w:type="dxa"/>
            <w:vAlign w:val="bottom"/>
          </w:tcPr>
          <w:p w14:paraId="05E44311" w14:textId="77777777" w:rsidR="00555E5A" w:rsidRDefault="00555E5A" w:rsidP="009639B2">
            <w:pPr>
              <w:widowControl/>
              <w:spacing w:line="21" w:lineRule="atLeast"/>
              <w:jc w:val="left"/>
              <w:textAlignment w:val="baseline"/>
              <w:rPr>
                <w:sz w:val="18"/>
                <w:szCs w:val="18"/>
              </w:rPr>
            </w:pPr>
            <w:r>
              <w:rPr>
                <w:sz w:val="18"/>
                <w:szCs w:val="18"/>
              </w:rPr>
              <w:t>Analysis</w:t>
            </w:r>
          </w:p>
        </w:tc>
      </w:tr>
      <w:tr w:rsidR="00555E5A" w14:paraId="77025668" w14:textId="77777777" w:rsidTr="00555E5A">
        <w:tc>
          <w:tcPr>
            <w:tcW w:w="1889" w:type="dxa"/>
          </w:tcPr>
          <w:p w14:paraId="22EA143A" w14:textId="3592001C" w:rsidR="00555E5A" w:rsidRDefault="00555E5A" w:rsidP="009639B2">
            <w:pPr>
              <w:widowControl/>
              <w:spacing w:line="21" w:lineRule="atLeast"/>
              <w:jc w:val="left"/>
              <w:textAlignment w:val="baseline"/>
              <w:rPr>
                <w:sz w:val="18"/>
                <w:szCs w:val="18"/>
              </w:rPr>
            </w:pPr>
            <w:proofErr w:type="spellStart"/>
            <w:r w:rsidRPr="00555E5A">
              <w:rPr>
                <w:sz w:val="18"/>
                <w:szCs w:val="18"/>
              </w:rPr>
              <w:t>Bestuurlijk</w:t>
            </w:r>
            <w:proofErr w:type="spellEnd"/>
            <w:r w:rsidRPr="00555E5A">
              <w:rPr>
                <w:sz w:val="18"/>
                <w:szCs w:val="18"/>
              </w:rPr>
              <w:t xml:space="preserve"> Platform </w:t>
            </w:r>
            <w:proofErr w:type="spellStart"/>
            <w:r w:rsidRPr="00555E5A">
              <w:rPr>
                <w:sz w:val="18"/>
                <w:szCs w:val="18"/>
              </w:rPr>
              <w:t>Zoetwater</w:t>
            </w:r>
            <w:proofErr w:type="spellEnd"/>
            <w:r w:rsidRPr="00555E5A">
              <w:rPr>
                <w:sz w:val="18"/>
                <w:szCs w:val="18"/>
              </w:rPr>
              <w:t xml:space="preserve"> (BPZ)</w:t>
            </w:r>
          </w:p>
        </w:tc>
        <w:tc>
          <w:tcPr>
            <w:tcW w:w="670" w:type="dxa"/>
          </w:tcPr>
          <w:p w14:paraId="0916BC55" w14:textId="77777777" w:rsidR="00555E5A" w:rsidRDefault="00555E5A" w:rsidP="009639B2">
            <w:pPr>
              <w:widowControl/>
              <w:spacing w:line="21" w:lineRule="atLeast"/>
              <w:jc w:val="left"/>
              <w:textAlignment w:val="baseline"/>
              <w:rPr>
                <w:sz w:val="18"/>
                <w:szCs w:val="18"/>
              </w:rPr>
            </w:pPr>
            <w:r>
              <w:rPr>
                <w:sz w:val="18"/>
                <w:szCs w:val="18"/>
              </w:rPr>
              <w:t>high</w:t>
            </w:r>
          </w:p>
        </w:tc>
        <w:tc>
          <w:tcPr>
            <w:tcW w:w="778" w:type="dxa"/>
          </w:tcPr>
          <w:p w14:paraId="4843B264" w14:textId="77777777" w:rsidR="00555E5A" w:rsidRDefault="00555E5A" w:rsidP="009639B2">
            <w:pPr>
              <w:widowControl/>
              <w:spacing w:line="21" w:lineRule="atLeast"/>
              <w:jc w:val="left"/>
              <w:textAlignment w:val="baseline"/>
              <w:rPr>
                <w:sz w:val="18"/>
                <w:szCs w:val="18"/>
              </w:rPr>
            </w:pPr>
            <w:r>
              <w:rPr>
                <w:sz w:val="18"/>
                <w:szCs w:val="18"/>
              </w:rPr>
              <w:t>high</w:t>
            </w:r>
          </w:p>
        </w:tc>
        <w:tc>
          <w:tcPr>
            <w:tcW w:w="1411" w:type="dxa"/>
          </w:tcPr>
          <w:p w14:paraId="681F71EE" w14:textId="77777777" w:rsidR="00555E5A" w:rsidRDefault="00555E5A" w:rsidP="009639B2">
            <w:pPr>
              <w:widowControl/>
              <w:spacing w:line="21" w:lineRule="atLeast"/>
              <w:jc w:val="left"/>
              <w:textAlignment w:val="baseline"/>
              <w:rPr>
                <w:sz w:val="18"/>
                <w:szCs w:val="18"/>
              </w:rPr>
            </w:pPr>
            <w:r>
              <w:rPr>
                <w:sz w:val="18"/>
                <w:szCs w:val="18"/>
              </w:rPr>
              <w:t>High power-high interest</w:t>
            </w:r>
          </w:p>
        </w:tc>
        <w:tc>
          <w:tcPr>
            <w:tcW w:w="2052" w:type="dxa"/>
          </w:tcPr>
          <w:p w14:paraId="19629BDE" w14:textId="62C00965" w:rsidR="00555E5A" w:rsidRDefault="00555E5A" w:rsidP="009639B2">
            <w:pPr>
              <w:widowControl/>
              <w:spacing w:line="21" w:lineRule="atLeast"/>
              <w:jc w:val="left"/>
              <w:textAlignment w:val="baseline"/>
              <w:rPr>
                <w:sz w:val="18"/>
                <w:szCs w:val="18"/>
              </w:rPr>
            </w:pPr>
            <w:r w:rsidRPr="00555E5A">
              <w:rPr>
                <w:sz w:val="18"/>
                <w:szCs w:val="18"/>
              </w:rPr>
              <w:t>Advises on strategy for river plans and budget allocation.</w:t>
            </w:r>
          </w:p>
        </w:tc>
      </w:tr>
      <w:tr w:rsidR="00555E5A" w14:paraId="625D3528" w14:textId="77777777" w:rsidTr="00555E5A">
        <w:tc>
          <w:tcPr>
            <w:tcW w:w="1889" w:type="dxa"/>
          </w:tcPr>
          <w:p w14:paraId="061D66D9" w14:textId="77777777" w:rsidR="00555E5A" w:rsidRDefault="00555E5A" w:rsidP="009639B2">
            <w:pPr>
              <w:widowControl/>
              <w:spacing w:line="21" w:lineRule="atLeast"/>
              <w:jc w:val="left"/>
              <w:textAlignment w:val="baseline"/>
              <w:rPr>
                <w:sz w:val="18"/>
                <w:szCs w:val="18"/>
              </w:rPr>
            </w:pPr>
            <w:r>
              <w:rPr>
                <w:sz w:val="18"/>
                <w:szCs w:val="18"/>
              </w:rPr>
              <w:t>Rijkswaterstaat</w:t>
            </w:r>
          </w:p>
        </w:tc>
        <w:tc>
          <w:tcPr>
            <w:tcW w:w="670" w:type="dxa"/>
          </w:tcPr>
          <w:p w14:paraId="30FF4855" w14:textId="77777777" w:rsidR="00555E5A" w:rsidRDefault="00555E5A" w:rsidP="009639B2">
            <w:pPr>
              <w:widowControl/>
              <w:spacing w:line="21" w:lineRule="atLeast"/>
              <w:jc w:val="left"/>
              <w:textAlignment w:val="baseline"/>
              <w:rPr>
                <w:sz w:val="18"/>
                <w:szCs w:val="18"/>
              </w:rPr>
            </w:pPr>
            <w:r>
              <w:rPr>
                <w:sz w:val="18"/>
                <w:szCs w:val="18"/>
              </w:rPr>
              <w:t>high</w:t>
            </w:r>
          </w:p>
        </w:tc>
        <w:tc>
          <w:tcPr>
            <w:tcW w:w="778" w:type="dxa"/>
          </w:tcPr>
          <w:p w14:paraId="4C86B2E1" w14:textId="77777777" w:rsidR="00555E5A" w:rsidRDefault="00555E5A" w:rsidP="009639B2">
            <w:pPr>
              <w:widowControl/>
              <w:spacing w:line="21" w:lineRule="atLeast"/>
              <w:jc w:val="left"/>
              <w:textAlignment w:val="baseline"/>
              <w:rPr>
                <w:sz w:val="18"/>
                <w:szCs w:val="18"/>
              </w:rPr>
            </w:pPr>
            <w:r>
              <w:rPr>
                <w:sz w:val="18"/>
                <w:szCs w:val="18"/>
              </w:rPr>
              <w:t>high</w:t>
            </w:r>
          </w:p>
        </w:tc>
        <w:tc>
          <w:tcPr>
            <w:tcW w:w="1411" w:type="dxa"/>
          </w:tcPr>
          <w:p w14:paraId="66893EF2" w14:textId="77777777" w:rsidR="00555E5A" w:rsidRDefault="00555E5A" w:rsidP="009639B2">
            <w:pPr>
              <w:widowControl/>
              <w:spacing w:line="21" w:lineRule="atLeast"/>
              <w:jc w:val="left"/>
              <w:textAlignment w:val="baseline"/>
              <w:rPr>
                <w:sz w:val="18"/>
                <w:szCs w:val="18"/>
              </w:rPr>
            </w:pPr>
            <w:r>
              <w:rPr>
                <w:sz w:val="18"/>
                <w:szCs w:val="18"/>
              </w:rPr>
              <w:t>High power-high interest</w:t>
            </w:r>
          </w:p>
        </w:tc>
        <w:tc>
          <w:tcPr>
            <w:tcW w:w="2052" w:type="dxa"/>
          </w:tcPr>
          <w:p w14:paraId="3A40C89E" w14:textId="77777777" w:rsidR="00555E5A" w:rsidRDefault="00555E5A" w:rsidP="009639B2">
            <w:pPr>
              <w:widowControl/>
              <w:spacing w:line="21" w:lineRule="atLeast"/>
              <w:jc w:val="left"/>
              <w:textAlignment w:val="baseline"/>
              <w:rPr>
                <w:sz w:val="18"/>
                <w:szCs w:val="18"/>
              </w:rPr>
            </w:pPr>
            <w:r>
              <w:rPr>
                <w:sz w:val="18"/>
                <w:szCs w:val="18"/>
              </w:rPr>
              <w:t>Core strength needs to be managed with focus.</w:t>
            </w:r>
          </w:p>
        </w:tc>
      </w:tr>
      <w:tr w:rsidR="00555E5A" w14:paraId="3A7F3D56" w14:textId="77777777" w:rsidTr="00555E5A">
        <w:tc>
          <w:tcPr>
            <w:tcW w:w="1889" w:type="dxa"/>
          </w:tcPr>
          <w:p w14:paraId="541C5A21" w14:textId="77777777" w:rsidR="00555E5A" w:rsidRDefault="00555E5A" w:rsidP="009639B2">
            <w:pPr>
              <w:widowControl/>
              <w:spacing w:line="21" w:lineRule="atLeast"/>
              <w:textAlignment w:val="baseline"/>
              <w:rPr>
                <w:sz w:val="18"/>
                <w:szCs w:val="18"/>
              </w:rPr>
            </w:pPr>
            <w:proofErr w:type="spellStart"/>
            <w:r w:rsidRPr="00A32BB8">
              <w:rPr>
                <w:sz w:val="18"/>
                <w:szCs w:val="18"/>
              </w:rPr>
              <w:t>Waterschappen</w:t>
            </w:r>
            <w:proofErr w:type="spellEnd"/>
          </w:p>
        </w:tc>
        <w:tc>
          <w:tcPr>
            <w:tcW w:w="670" w:type="dxa"/>
          </w:tcPr>
          <w:p w14:paraId="5EBA8FCF" w14:textId="77777777" w:rsidR="00555E5A" w:rsidRDefault="00555E5A" w:rsidP="009639B2">
            <w:pPr>
              <w:widowControl/>
              <w:spacing w:line="21" w:lineRule="atLeast"/>
              <w:textAlignment w:val="baseline"/>
              <w:rPr>
                <w:sz w:val="18"/>
                <w:szCs w:val="18"/>
              </w:rPr>
            </w:pPr>
            <w:r>
              <w:rPr>
                <w:sz w:val="18"/>
                <w:szCs w:val="18"/>
              </w:rPr>
              <w:t>high</w:t>
            </w:r>
          </w:p>
        </w:tc>
        <w:tc>
          <w:tcPr>
            <w:tcW w:w="778" w:type="dxa"/>
          </w:tcPr>
          <w:p w14:paraId="362BE0A6" w14:textId="77777777" w:rsidR="00555E5A" w:rsidRDefault="00555E5A" w:rsidP="009639B2">
            <w:pPr>
              <w:widowControl/>
              <w:spacing w:line="21" w:lineRule="atLeast"/>
              <w:textAlignment w:val="baseline"/>
              <w:rPr>
                <w:sz w:val="18"/>
                <w:szCs w:val="18"/>
              </w:rPr>
            </w:pPr>
            <w:r>
              <w:rPr>
                <w:sz w:val="18"/>
                <w:szCs w:val="18"/>
              </w:rPr>
              <w:t>high</w:t>
            </w:r>
          </w:p>
        </w:tc>
        <w:tc>
          <w:tcPr>
            <w:tcW w:w="1411" w:type="dxa"/>
          </w:tcPr>
          <w:p w14:paraId="4C562216" w14:textId="77777777" w:rsidR="00555E5A" w:rsidRDefault="00555E5A" w:rsidP="009639B2">
            <w:pPr>
              <w:widowControl/>
              <w:spacing w:line="21" w:lineRule="atLeast"/>
              <w:textAlignment w:val="baseline"/>
              <w:rPr>
                <w:sz w:val="18"/>
                <w:szCs w:val="18"/>
              </w:rPr>
            </w:pPr>
            <w:r>
              <w:rPr>
                <w:sz w:val="18"/>
                <w:szCs w:val="18"/>
              </w:rPr>
              <w:t>High power-high interest</w:t>
            </w:r>
          </w:p>
        </w:tc>
        <w:tc>
          <w:tcPr>
            <w:tcW w:w="2052" w:type="dxa"/>
          </w:tcPr>
          <w:p w14:paraId="1F668168" w14:textId="77777777" w:rsidR="00555E5A" w:rsidRDefault="00555E5A" w:rsidP="009639B2">
            <w:pPr>
              <w:widowControl/>
              <w:spacing w:line="21" w:lineRule="atLeast"/>
              <w:textAlignment w:val="baseline"/>
              <w:rPr>
                <w:sz w:val="18"/>
                <w:szCs w:val="18"/>
              </w:rPr>
            </w:pPr>
            <w:r w:rsidRPr="00431C17">
              <w:rPr>
                <w:sz w:val="18"/>
                <w:szCs w:val="18"/>
              </w:rPr>
              <w:t>Implementing regional flood protection and wastewater treatment</w:t>
            </w:r>
          </w:p>
        </w:tc>
      </w:tr>
      <w:tr w:rsidR="00555E5A" w14:paraId="5218C1AE" w14:textId="77777777" w:rsidTr="00555E5A">
        <w:tc>
          <w:tcPr>
            <w:tcW w:w="1889" w:type="dxa"/>
          </w:tcPr>
          <w:p w14:paraId="31E6D76B" w14:textId="30FA1F2E" w:rsidR="00555E5A" w:rsidRDefault="00555E5A" w:rsidP="009639B2">
            <w:pPr>
              <w:widowControl/>
              <w:spacing w:line="21" w:lineRule="atLeast"/>
              <w:textAlignment w:val="baseline"/>
              <w:rPr>
                <w:sz w:val="18"/>
                <w:szCs w:val="18"/>
              </w:rPr>
            </w:pPr>
            <w:r w:rsidRPr="00555E5A">
              <w:rPr>
                <w:sz w:val="18"/>
                <w:szCs w:val="18"/>
              </w:rPr>
              <w:t>Slim W</w:t>
            </w:r>
            <w:proofErr w:type="spellStart"/>
            <w:r w:rsidRPr="00555E5A">
              <w:rPr>
                <w:sz w:val="18"/>
                <w:szCs w:val="18"/>
              </w:rPr>
              <w:t>atermanagement</w:t>
            </w:r>
            <w:proofErr w:type="spellEnd"/>
            <w:r w:rsidRPr="00555E5A">
              <w:rPr>
                <w:sz w:val="18"/>
                <w:szCs w:val="18"/>
              </w:rPr>
              <w:t xml:space="preserve"> (Slim WM)</w:t>
            </w:r>
          </w:p>
        </w:tc>
        <w:tc>
          <w:tcPr>
            <w:tcW w:w="670" w:type="dxa"/>
          </w:tcPr>
          <w:p w14:paraId="7FE2E641" w14:textId="520F3BD2" w:rsidR="00555E5A" w:rsidRDefault="00555E5A" w:rsidP="009639B2">
            <w:pPr>
              <w:widowControl/>
              <w:spacing w:line="21" w:lineRule="atLeast"/>
              <w:textAlignment w:val="baseline"/>
              <w:rPr>
                <w:sz w:val="18"/>
                <w:szCs w:val="18"/>
              </w:rPr>
            </w:pPr>
            <w:r w:rsidRPr="00555E5A">
              <w:rPr>
                <w:sz w:val="18"/>
                <w:szCs w:val="18"/>
              </w:rPr>
              <w:t>High</w:t>
            </w:r>
          </w:p>
        </w:tc>
        <w:tc>
          <w:tcPr>
            <w:tcW w:w="778" w:type="dxa"/>
          </w:tcPr>
          <w:p w14:paraId="3EA84945" w14:textId="0C1192F0" w:rsidR="00555E5A" w:rsidRDefault="00555E5A" w:rsidP="009639B2">
            <w:pPr>
              <w:widowControl/>
              <w:spacing w:line="21" w:lineRule="atLeast"/>
              <w:textAlignment w:val="baseline"/>
              <w:rPr>
                <w:sz w:val="18"/>
                <w:szCs w:val="18"/>
              </w:rPr>
            </w:pPr>
            <w:r w:rsidRPr="00555E5A">
              <w:rPr>
                <w:sz w:val="18"/>
                <w:szCs w:val="18"/>
              </w:rPr>
              <w:t>High</w:t>
            </w:r>
          </w:p>
        </w:tc>
        <w:tc>
          <w:tcPr>
            <w:tcW w:w="1411" w:type="dxa"/>
          </w:tcPr>
          <w:p w14:paraId="590FA712" w14:textId="05F5A3E4" w:rsidR="00555E5A" w:rsidRDefault="00555E5A" w:rsidP="009639B2">
            <w:pPr>
              <w:widowControl/>
              <w:spacing w:line="21" w:lineRule="atLeast"/>
              <w:textAlignment w:val="baseline"/>
              <w:rPr>
                <w:sz w:val="18"/>
                <w:szCs w:val="18"/>
              </w:rPr>
            </w:pPr>
            <w:r w:rsidRPr="00555E5A">
              <w:rPr>
                <w:sz w:val="18"/>
                <w:szCs w:val="18"/>
              </w:rPr>
              <w:t>High power-high interest</w:t>
            </w:r>
          </w:p>
        </w:tc>
        <w:tc>
          <w:tcPr>
            <w:tcW w:w="2052" w:type="dxa"/>
          </w:tcPr>
          <w:p w14:paraId="4889308F" w14:textId="3165C1F3" w:rsidR="00555E5A" w:rsidRDefault="00555E5A" w:rsidP="009639B2">
            <w:pPr>
              <w:widowControl/>
              <w:spacing w:line="21" w:lineRule="atLeast"/>
              <w:textAlignment w:val="baseline"/>
              <w:rPr>
                <w:sz w:val="18"/>
                <w:szCs w:val="18"/>
              </w:rPr>
            </w:pPr>
            <w:r w:rsidRPr="00555E5A">
              <w:rPr>
                <w:sz w:val="18"/>
                <w:szCs w:val="18"/>
              </w:rPr>
              <w:t>Supports regional water authorities with policy implementation.</w:t>
            </w:r>
          </w:p>
        </w:tc>
      </w:tr>
      <w:tr w:rsidR="00FE03E5" w14:paraId="7685E284" w14:textId="77777777" w:rsidTr="00555E5A">
        <w:tc>
          <w:tcPr>
            <w:tcW w:w="1889" w:type="dxa"/>
          </w:tcPr>
          <w:p w14:paraId="51C7C6AE" w14:textId="431566A9" w:rsidR="00FE03E5" w:rsidRPr="00555E5A" w:rsidRDefault="00FE03E5" w:rsidP="009639B2">
            <w:pPr>
              <w:widowControl/>
              <w:spacing w:line="21" w:lineRule="atLeast"/>
              <w:textAlignment w:val="baseline"/>
              <w:rPr>
                <w:sz w:val="18"/>
                <w:szCs w:val="18"/>
              </w:rPr>
            </w:pPr>
            <w:r w:rsidRPr="00FE03E5">
              <w:rPr>
                <w:sz w:val="18"/>
                <w:szCs w:val="18"/>
              </w:rPr>
              <w:t xml:space="preserve">Regional Water Authority </w:t>
            </w:r>
            <w:proofErr w:type="spellStart"/>
            <w:r w:rsidRPr="00FE03E5">
              <w:rPr>
                <w:sz w:val="18"/>
                <w:szCs w:val="18"/>
              </w:rPr>
              <w:t>Brabantse</w:t>
            </w:r>
            <w:proofErr w:type="spellEnd"/>
            <w:r w:rsidRPr="00FE03E5">
              <w:rPr>
                <w:sz w:val="18"/>
                <w:szCs w:val="18"/>
              </w:rPr>
              <w:t xml:space="preserve"> Delta</w:t>
            </w:r>
          </w:p>
        </w:tc>
        <w:tc>
          <w:tcPr>
            <w:tcW w:w="670" w:type="dxa"/>
          </w:tcPr>
          <w:p w14:paraId="781DEA1C" w14:textId="340B271F" w:rsidR="00FE03E5" w:rsidRPr="00555E5A" w:rsidRDefault="00FE03E5" w:rsidP="009639B2">
            <w:pPr>
              <w:widowControl/>
              <w:spacing w:line="21" w:lineRule="atLeast"/>
              <w:textAlignment w:val="baseline"/>
              <w:rPr>
                <w:sz w:val="18"/>
                <w:szCs w:val="18"/>
              </w:rPr>
            </w:pPr>
            <w:r w:rsidRPr="00FE03E5">
              <w:rPr>
                <w:sz w:val="18"/>
                <w:szCs w:val="18"/>
              </w:rPr>
              <w:t>High</w:t>
            </w:r>
          </w:p>
        </w:tc>
        <w:tc>
          <w:tcPr>
            <w:tcW w:w="778" w:type="dxa"/>
          </w:tcPr>
          <w:p w14:paraId="2EAB1967" w14:textId="7B3109AF" w:rsidR="00FE03E5" w:rsidRPr="00555E5A" w:rsidRDefault="00FE03E5" w:rsidP="009639B2">
            <w:pPr>
              <w:widowControl/>
              <w:spacing w:line="21" w:lineRule="atLeast"/>
              <w:textAlignment w:val="baseline"/>
              <w:rPr>
                <w:sz w:val="18"/>
                <w:szCs w:val="18"/>
              </w:rPr>
            </w:pPr>
            <w:r w:rsidRPr="00FE03E5">
              <w:rPr>
                <w:sz w:val="18"/>
                <w:szCs w:val="18"/>
              </w:rPr>
              <w:t>High</w:t>
            </w:r>
          </w:p>
        </w:tc>
        <w:tc>
          <w:tcPr>
            <w:tcW w:w="1411" w:type="dxa"/>
          </w:tcPr>
          <w:p w14:paraId="74FA472D" w14:textId="7EDF5B45" w:rsidR="00FE03E5" w:rsidRPr="00555E5A" w:rsidRDefault="00FE03E5" w:rsidP="009639B2">
            <w:pPr>
              <w:widowControl/>
              <w:spacing w:line="21" w:lineRule="atLeast"/>
              <w:textAlignment w:val="baseline"/>
              <w:rPr>
                <w:sz w:val="18"/>
                <w:szCs w:val="18"/>
              </w:rPr>
            </w:pPr>
            <w:r w:rsidRPr="00FE03E5">
              <w:rPr>
                <w:sz w:val="18"/>
                <w:szCs w:val="18"/>
              </w:rPr>
              <w:t>High power-high interest</w:t>
            </w:r>
          </w:p>
        </w:tc>
        <w:tc>
          <w:tcPr>
            <w:tcW w:w="2052" w:type="dxa"/>
          </w:tcPr>
          <w:p w14:paraId="4089837B" w14:textId="47D5ACDE" w:rsidR="00FE03E5" w:rsidRPr="00555E5A" w:rsidRDefault="00FE03E5" w:rsidP="009639B2">
            <w:pPr>
              <w:widowControl/>
              <w:spacing w:line="21" w:lineRule="atLeast"/>
              <w:textAlignment w:val="baseline"/>
              <w:rPr>
                <w:sz w:val="18"/>
                <w:szCs w:val="18"/>
              </w:rPr>
            </w:pPr>
            <w:r w:rsidRPr="00FE03E5">
              <w:rPr>
                <w:sz w:val="18"/>
                <w:szCs w:val="18"/>
              </w:rPr>
              <w:t>Implements modeling for regional policies and ensures water quality</w:t>
            </w:r>
          </w:p>
        </w:tc>
      </w:tr>
      <w:tr w:rsidR="00555E5A" w14:paraId="29C3C0D4" w14:textId="77777777" w:rsidTr="00555E5A">
        <w:tc>
          <w:tcPr>
            <w:tcW w:w="1889" w:type="dxa"/>
          </w:tcPr>
          <w:p w14:paraId="78F1960A" w14:textId="77777777" w:rsidR="00555E5A" w:rsidRPr="005C68AE" w:rsidRDefault="00555E5A" w:rsidP="009639B2">
            <w:pPr>
              <w:widowControl/>
              <w:spacing w:line="21" w:lineRule="atLeast"/>
              <w:textAlignment w:val="baseline"/>
              <w:rPr>
                <w:sz w:val="18"/>
                <w:szCs w:val="18"/>
              </w:rPr>
            </w:pPr>
            <w:r w:rsidRPr="005C68AE">
              <w:rPr>
                <w:sz w:val="18"/>
                <w:szCs w:val="18"/>
              </w:rPr>
              <w:lastRenderedPageBreak/>
              <w:t>Research Institutes</w:t>
            </w:r>
          </w:p>
        </w:tc>
        <w:tc>
          <w:tcPr>
            <w:tcW w:w="670" w:type="dxa"/>
          </w:tcPr>
          <w:p w14:paraId="6715FD4F" w14:textId="77777777" w:rsidR="00555E5A" w:rsidRDefault="00555E5A" w:rsidP="009639B2">
            <w:pPr>
              <w:widowControl/>
              <w:spacing w:line="21" w:lineRule="atLeast"/>
              <w:textAlignment w:val="baseline"/>
              <w:rPr>
                <w:sz w:val="18"/>
                <w:szCs w:val="18"/>
              </w:rPr>
            </w:pPr>
            <w:r w:rsidRPr="005C68AE">
              <w:rPr>
                <w:sz w:val="18"/>
                <w:szCs w:val="18"/>
              </w:rPr>
              <w:t>Middle-high</w:t>
            </w:r>
          </w:p>
        </w:tc>
        <w:tc>
          <w:tcPr>
            <w:tcW w:w="778" w:type="dxa"/>
          </w:tcPr>
          <w:p w14:paraId="51A3AD52" w14:textId="77777777" w:rsidR="00555E5A" w:rsidRDefault="00555E5A" w:rsidP="009639B2">
            <w:pPr>
              <w:widowControl/>
              <w:spacing w:line="21" w:lineRule="atLeast"/>
              <w:textAlignment w:val="baseline"/>
              <w:rPr>
                <w:sz w:val="18"/>
                <w:szCs w:val="18"/>
              </w:rPr>
            </w:pPr>
            <w:r w:rsidRPr="005C68AE">
              <w:rPr>
                <w:sz w:val="18"/>
                <w:szCs w:val="18"/>
              </w:rPr>
              <w:t>high</w:t>
            </w:r>
          </w:p>
        </w:tc>
        <w:tc>
          <w:tcPr>
            <w:tcW w:w="1411" w:type="dxa"/>
          </w:tcPr>
          <w:p w14:paraId="0F3CF2AA" w14:textId="77777777" w:rsidR="00555E5A" w:rsidRDefault="00555E5A" w:rsidP="009639B2">
            <w:pPr>
              <w:widowControl/>
              <w:spacing w:line="21" w:lineRule="atLeast"/>
              <w:textAlignment w:val="baseline"/>
              <w:rPr>
                <w:sz w:val="18"/>
                <w:szCs w:val="18"/>
              </w:rPr>
            </w:pPr>
            <w:r w:rsidRPr="005C68AE">
              <w:rPr>
                <w:sz w:val="18"/>
                <w:szCs w:val="18"/>
              </w:rPr>
              <w:t>Middle power-high interest</w:t>
            </w:r>
          </w:p>
        </w:tc>
        <w:tc>
          <w:tcPr>
            <w:tcW w:w="2052" w:type="dxa"/>
          </w:tcPr>
          <w:p w14:paraId="30362F5D" w14:textId="77777777" w:rsidR="00555E5A" w:rsidRDefault="00555E5A" w:rsidP="009639B2">
            <w:pPr>
              <w:widowControl/>
              <w:spacing w:line="21" w:lineRule="atLeast"/>
              <w:textAlignment w:val="baseline"/>
              <w:rPr>
                <w:sz w:val="18"/>
                <w:szCs w:val="18"/>
              </w:rPr>
            </w:pPr>
            <w:r w:rsidRPr="005C68AE">
              <w:rPr>
                <w:sz w:val="18"/>
                <w:szCs w:val="18"/>
              </w:rPr>
              <w:t>Conduct research and provide scientific evidence on AI effectiveness</w:t>
            </w:r>
          </w:p>
        </w:tc>
      </w:tr>
      <w:tr w:rsidR="00FE03E5" w14:paraId="4C502908" w14:textId="77777777" w:rsidTr="00555E5A">
        <w:tc>
          <w:tcPr>
            <w:tcW w:w="1889" w:type="dxa"/>
          </w:tcPr>
          <w:p w14:paraId="30D8A0C0" w14:textId="44536650" w:rsidR="00FE03E5" w:rsidRPr="005C68AE" w:rsidRDefault="00FE03E5" w:rsidP="00FE03E5">
            <w:pPr>
              <w:widowControl/>
              <w:spacing w:line="21" w:lineRule="atLeast"/>
              <w:textAlignment w:val="baseline"/>
              <w:rPr>
                <w:sz w:val="18"/>
                <w:szCs w:val="18"/>
              </w:rPr>
            </w:pPr>
            <w:r>
              <w:rPr>
                <w:sz w:val="18"/>
                <w:szCs w:val="18"/>
              </w:rPr>
              <w:t>Municipalities</w:t>
            </w:r>
          </w:p>
        </w:tc>
        <w:tc>
          <w:tcPr>
            <w:tcW w:w="670" w:type="dxa"/>
          </w:tcPr>
          <w:p w14:paraId="019BB1F5" w14:textId="7369531B" w:rsidR="00FE03E5" w:rsidRPr="005C68AE" w:rsidRDefault="00FE03E5" w:rsidP="00FE03E5">
            <w:pPr>
              <w:widowControl/>
              <w:spacing w:line="21" w:lineRule="atLeast"/>
              <w:textAlignment w:val="baseline"/>
              <w:rPr>
                <w:sz w:val="18"/>
                <w:szCs w:val="18"/>
              </w:rPr>
            </w:pPr>
            <w:r>
              <w:rPr>
                <w:sz w:val="18"/>
                <w:szCs w:val="18"/>
              </w:rPr>
              <w:t>high</w:t>
            </w:r>
          </w:p>
        </w:tc>
        <w:tc>
          <w:tcPr>
            <w:tcW w:w="778" w:type="dxa"/>
          </w:tcPr>
          <w:p w14:paraId="4D06AD10" w14:textId="444D93DB" w:rsidR="00FE03E5" w:rsidRPr="005C68AE" w:rsidRDefault="00FE03E5" w:rsidP="00FE03E5">
            <w:pPr>
              <w:widowControl/>
              <w:spacing w:line="21" w:lineRule="atLeast"/>
              <w:textAlignment w:val="baseline"/>
              <w:rPr>
                <w:sz w:val="18"/>
                <w:szCs w:val="18"/>
              </w:rPr>
            </w:pPr>
            <w:r>
              <w:rPr>
                <w:sz w:val="18"/>
                <w:szCs w:val="18"/>
              </w:rPr>
              <w:t>high</w:t>
            </w:r>
          </w:p>
        </w:tc>
        <w:tc>
          <w:tcPr>
            <w:tcW w:w="1411" w:type="dxa"/>
          </w:tcPr>
          <w:p w14:paraId="142A2D56" w14:textId="548A8FFA" w:rsidR="00FE03E5" w:rsidRPr="005C68AE" w:rsidRDefault="00FE03E5" w:rsidP="00FE03E5">
            <w:pPr>
              <w:widowControl/>
              <w:spacing w:line="21" w:lineRule="atLeast"/>
              <w:textAlignment w:val="baseline"/>
              <w:rPr>
                <w:sz w:val="18"/>
                <w:szCs w:val="18"/>
              </w:rPr>
            </w:pPr>
            <w:r>
              <w:rPr>
                <w:sz w:val="18"/>
                <w:szCs w:val="18"/>
              </w:rPr>
              <w:t>High power-high interest</w:t>
            </w:r>
          </w:p>
        </w:tc>
        <w:tc>
          <w:tcPr>
            <w:tcW w:w="2052" w:type="dxa"/>
          </w:tcPr>
          <w:p w14:paraId="3119F81C" w14:textId="5398E5D2" w:rsidR="00FE03E5" w:rsidRPr="005C68AE" w:rsidRDefault="00FE03E5" w:rsidP="00FE03E5">
            <w:pPr>
              <w:widowControl/>
              <w:spacing w:line="21" w:lineRule="atLeast"/>
              <w:textAlignment w:val="baseline"/>
              <w:rPr>
                <w:sz w:val="18"/>
                <w:szCs w:val="18"/>
              </w:rPr>
            </w:pPr>
            <w:r w:rsidRPr="00FE03E5">
              <w:rPr>
                <w:sz w:val="18"/>
                <w:szCs w:val="18"/>
              </w:rPr>
              <w:t>Affected by decisions made by water authorities, particularly in drought situations</w:t>
            </w:r>
          </w:p>
        </w:tc>
      </w:tr>
      <w:tr w:rsidR="00FE03E5" w14:paraId="5E1BECD2" w14:textId="77777777" w:rsidTr="00555E5A">
        <w:tc>
          <w:tcPr>
            <w:tcW w:w="1889" w:type="dxa"/>
          </w:tcPr>
          <w:p w14:paraId="0CE646E4" w14:textId="706578C6" w:rsidR="00FE03E5" w:rsidRPr="005C68AE" w:rsidRDefault="00FE03E5" w:rsidP="00FE03E5">
            <w:pPr>
              <w:widowControl/>
              <w:spacing w:line="21" w:lineRule="atLeast"/>
              <w:textAlignment w:val="baseline"/>
              <w:rPr>
                <w:sz w:val="18"/>
                <w:szCs w:val="18"/>
              </w:rPr>
            </w:pPr>
            <w:r>
              <w:rPr>
                <w:sz w:val="18"/>
                <w:szCs w:val="18"/>
              </w:rPr>
              <w:t>Citizens</w:t>
            </w:r>
          </w:p>
        </w:tc>
        <w:tc>
          <w:tcPr>
            <w:tcW w:w="670" w:type="dxa"/>
          </w:tcPr>
          <w:p w14:paraId="793A507F" w14:textId="7F77A871" w:rsidR="00FE03E5" w:rsidRPr="005C68AE" w:rsidRDefault="00FE03E5" w:rsidP="00FE03E5">
            <w:pPr>
              <w:widowControl/>
              <w:spacing w:line="21" w:lineRule="atLeast"/>
              <w:textAlignment w:val="baseline"/>
              <w:rPr>
                <w:sz w:val="18"/>
                <w:szCs w:val="18"/>
              </w:rPr>
            </w:pPr>
            <w:r>
              <w:rPr>
                <w:sz w:val="18"/>
                <w:szCs w:val="18"/>
              </w:rPr>
              <w:t>Low</w:t>
            </w:r>
          </w:p>
        </w:tc>
        <w:tc>
          <w:tcPr>
            <w:tcW w:w="778" w:type="dxa"/>
          </w:tcPr>
          <w:p w14:paraId="4D2F16C4" w14:textId="291259E2" w:rsidR="00FE03E5" w:rsidRPr="005C68AE" w:rsidRDefault="00FE03E5" w:rsidP="00FE03E5">
            <w:pPr>
              <w:widowControl/>
              <w:spacing w:line="21" w:lineRule="atLeast"/>
              <w:textAlignment w:val="baseline"/>
              <w:rPr>
                <w:sz w:val="18"/>
                <w:szCs w:val="18"/>
              </w:rPr>
            </w:pPr>
            <w:r>
              <w:rPr>
                <w:sz w:val="18"/>
                <w:szCs w:val="18"/>
              </w:rPr>
              <w:t>high</w:t>
            </w:r>
          </w:p>
        </w:tc>
        <w:tc>
          <w:tcPr>
            <w:tcW w:w="1411" w:type="dxa"/>
          </w:tcPr>
          <w:p w14:paraId="22893625" w14:textId="1709A96E" w:rsidR="00FE03E5" w:rsidRPr="005C68AE" w:rsidRDefault="00FE03E5" w:rsidP="00FE03E5">
            <w:pPr>
              <w:widowControl/>
              <w:spacing w:line="21" w:lineRule="atLeast"/>
              <w:textAlignment w:val="baseline"/>
              <w:rPr>
                <w:sz w:val="18"/>
                <w:szCs w:val="18"/>
              </w:rPr>
            </w:pPr>
            <w:r>
              <w:rPr>
                <w:sz w:val="18"/>
                <w:szCs w:val="18"/>
              </w:rPr>
              <w:t>Low power-high interest</w:t>
            </w:r>
          </w:p>
        </w:tc>
        <w:tc>
          <w:tcPr>
            <w:tcW w:w="2052" w:type="dxa"/>
          </w:tcPr>
          <w:p w14:paraId="04EEF439" w14:textId="1CD512C7" w:rsidR="00FE03E5" w:rsidRPr="005C68AE" w:rsidRDefault="00FE03E5" w:rsidP="00FE03E5">
            <w:pPr>
              <w:widowControl/>
              <w:spacing w:line="21" w:lineRule="atLeast"/>
              <w:textAlignment w:val="baseline"/>
              <w:rPr>
                <w:sz w:val="18"/>
                <w:szCs w:val="18"/>
              </w:rPr>
            </w:pPr>
            <w:r>
              <w:rPr>
                <w:sz w:val="18"/>
                <w:szCs w:val="18"/>
              </w:rPr>
              <w:t>Care deeply about the results and need to actively participate.</w:t>
            </w:r>
          </w:p>
        </w:tc>
      </w:tr>
      <w:tr w:rsidR="00555E5A" w14:paraId="605F0C0F" w14:textId="77777777" w:rsidTr="00555E5A">
        <w:tc>
          <w:tcPr>
            <w:tcW w:w="1889" w:type="dxa"/>
          </w:tcPr>
          <w:p w14:paraId="25D37111" w14:textId="77777777" w:rsidR="00555E5A" w:rsidRDefault="00555E5A" w:rsidP="009639B2">
            <w:pPr>
              <w:widowControl/>
              <w:spacing w:line="21" w:lineRule="atLeast"/>
              <w:jc w:val="left"/>
              <w:textAlignment w:val="baseline"/>
              <w:rPr>
                <w:sz w:val="18"/>
                <w:szCs w:val="18"/>
              </w:rPr>
            </w:pPr>
            <w:r>
              <w:rPr>
                <w:rFonts w:hint="eastAsia"/>
                <w:sz w:val="18"/>
                <w:szCs w:val="18"/>
              </w:rPr>
              <w:t>Media</w:t>
            </w:r>
          </w:p>
        </w:tc>
        <w:tc>
          <w:tcPr>
            <w:tcW w:w="670" w:type="dxa"/>
          </w:tcPr>
          <w:p w14:paraId="3BA54F80" w14:textId="77777777" w:rsidR="00555E5A" w:rsidRDefault="00555E5A" w:rsidP="009639B2">
            <w:pPr>
              <w:widowControl/>
              <w:spacing w:line="21" w:lineRule="atLeast"/>
              <w:jc w:val="left"/>
              <w:textAlignment w:val="baseline"/>
              <w:rPr>
                <w:sz w:val="18"/>
                <w:szCs w:val="18"/>
              </w:rPr>
            </w:pPr>
            <w:r>
              <w:rPr>
                <w:rFonts w:hint="eastAsia"/>
                <w:sz w:val="18"/>
                <w:szCs w:val="18"/>
              </w:rPr>
              <w:t>Middle-low</w:t>
            </w:r>
          </w:p>
        </w:tc>
        <w:tc>
          <w:tcPr>
            <w:tcW w:w="778" w:type="dxa"/>
          </w:tcPr>
          <w:p w14:paraId="4FE7AF6D" w14:textId="3AB620BB" w:rsidR="00555E5A" w:rsidRDefault="00FE03E5" w:rsidP="009639B2">
            <w:pPr>
              <w:widowControl/>
              <w:spacing w:line="21" w:lineRule="atLeast"/>
              <w:jc w:val="left"/>
              <w:textAlignment w:val="baseline"/>
              <w:rPr>
                <w:sz w:val="18"/>
                <w:szCs w:val="18"/>
              </w:rPr>
            </w:pPr>
            <w:r>
              <w:rPr>
                <w:rFonts w:hint="eastAsia"/>
                <w:sz w:val="18"/>
                <w:szCs w:val="18"/>
              </w:rPr>
              <w:t>Middle-low</w:t>
            </w:r>
          </w:p>
        </w:tc>
        <w:tc>
          <w:tcPr>
            <w:tcW w:w="1411" w:type="dxa"/>
          </w:tcPr>
          <w:p w14:paraId="0641BED8" w14:textId="7A63436C" w:rsidR="00555E5A" w:rsidRDefault="00FE03E5" w:rsidP="009639B2">
            <w:pPr>
              <w:widowControl/>
              <w:spacing w:line="21" w:lineRule="atLeast"/>
              <w:jc w:val="left"/>
              <w:textAlignment w:val="baseline"/>
              <w:rPr>
                <w:sz w:val="18"/>
                <w:szCs w:val="18"/>
              </w:rPr>
            </w:pPr>
            <w:r>
              <w:rPr>
                <w:rFonts w:hint="eastAsia"/>
                <w:sz w:val="18"/>
                <w:szCs w:val="18"/>
              </w:rPr>
              <w:t>Middle-low</w:t>
            </w:r>
            <w:r w:rsidR="00555E5A">
              <w:rPr>
                <w:sz w:val="18"/>
                <w:szCs w:val="18"/>
              </w:rPr>
              <w:t xml:space="preserve"> power-</w:t>
            </w:r>
            <w:r>
              <w:rPr>
                <w:rFonts w:hint="eastAsia"/>
                <w:sz w:val="18"/>
                <w:szCs w:val="18"/>
              </w:rPr>
              <w:t xml:space="preserve"> </w:t>
            </w:r>
            <w:r>
              <w:rPr>
                <w:rFonts w:hint="eastAsia"/>
                <w:sz w:val="18"/>
                <w:szCs w:val="18"/>
              </w:rPr>
              <w:t>Middle-low</w:t>
            </w:r>
            <w:r w:rsidR="00555E5A">
              <w:rPr>
                <w:sz w:val="18"/>
                <w:szCs w:val="18"/>
              </w:rPr>
              <w:t xml:space="preserve"> interest</w:t>
            </w:r>
          </w:p>
        </w:tc>
        <w:tc>
          <w:tcPr>
            <w:tcW w:w="2052" w:type="dxa"/>
          </w:tcPr>
          <w:p w14:paraId="23431A92" w14:textId="77777777" w:rsidR="00555E5A" w:rsidRDefault="00555E5A" w:rsidP="009639B2">
            <w:pPr>
              <w:widowControl/>
              <w:spacing w:line="21" w:lineRule="atLeast"/>
              <w:jc w:val="left"/>
              <w:textAlignment w:val="baseline"/>
              <w:rPr>
                <w:sz w:val="18"/>
                <w:szCs w:val="18"/>
              </w:rPr>
            </w:pPr>
            <w:r>
              <w:rPr>
                <w:sz w:val="18"/>
                <w:szCs w:val="18"/>
              </w:rPr>
              <w:t>Public opinion and communication</w:t>
            </w:r>
          </w:p>
        </w:tc>
      </w:tr>
    </w:tbl>
    <w:p w14:paraId="395E7E0E" w14:textId="417A88B6" w:rsidR="0068691B" w:rsidRDefault="00FE03E5" w:rsidP="0068691B">
      <w:r w:rsidRPr="00FE03E5">
        <w:rPr>
          <w:noProof/>
        </w:rPr>
        <w:drawing>
          <wp:anchor distT="0" distB="0" distL="114300" distR="114300" simplePos="0" relativeHeight="251658240" behindDoc="0" locked="0" layoutInCell="1" allowOverlap="1" wp14:anchorId="14DB91DA" wp14:editId="37B1558D">
            <wp:simplePos x="0" y="0"/>
            <wp:positionH relativeFrom="column">
              <wp:posOffset>0</wp:posOffset>
            </wp:positionH>
            <wp:positionV relativeFrom="paragraph">
              <wp:posOffset>3810</wp:posOffset>
            </wp:positionV>
            <wp:extent cx="5274310" cy="4549140"/>
            <wp:effectExtent l="0" t="0" r="2540" b="3810"/>
            <wp:wrapSquare wrapText="bothSides"/>
            <wp:docPr id="5047087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870" name="图片 1" descr="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4549140"/>
                    </a:xfrm>
                    <a:prstGeom prst="rect">
                      <a:avLst/>
                    </a:prstGeom>
                  </pic:spPr>
                </pic:pic>
              </a:graphicData>
            </a:graphic>
          </wp:anchor>
        </w:drawing>
      </w:r>
      <w:r w:rsidR="0068691B" w:rsidRPr="00311441">
        <w:rPr>
          <w:noProof/>
        </w:rPr>
        <w:t xml:space="preserve"> </w:t>
      </w:r>
      <w:r w:rsidR="0068691B" w:rsidRPr="00F132D6">
        <w:rPr>
          <w:noProof/>
        </w:rPr>
        <w:t xml:space="preserve"> </w:t>
      </w:r>
      <w:r w:rsidR="0068691B" w:rsidRPr="006642BA">
        <w:rPr>
          <w:noProof/>
        </w:rPr>
        <w:t xml:space="preserve"> </w:t>
      </w:r>
    </w:p>
    <w:p w14:paraId="7916BA6C" w14:textId="77777777" w:rsidR="0068691B" w:rsidRDefault="0068691B" w:rsidP="0068691B">
      <w:pPr>
        <w:pStyle w:val="3"/>
      </w:pPr>
      <w:r>
        <w:rPr>
          <w:rFonts w:hint="eastAsia"/>
        </w:rPr>
        <w:lastRenderedPageBreak/>
        <w:t xml:space="preserve">2.1.2 </w:t>
      </w:r>
      <w:r>
        <w:t>Actor Coalitions on Shared Values</w:t>
      </w:r>
    </w:p>
    <w:p w14:paraId="15A5A817" w14:textId="77777777" w:rsidR="00FE03E5" w:rsidRPr="00FE03E5" w:rsidRDefault="00FE03E5" w:rsidP="00FE03E5">
      <w:r w:rsidRPr="00FE03E5">
        <w:t>When analyzing stakeholders in the decision-making process of flood protection in the Netherlands, Actor Coalitions on Shared Values can be identified through the analysis in the previous sections:</w:t>
      </w:r>
    </w:p>
    <w:p w14:paraId="0F2E2D63" w14:textId="77777777" w:rsidR="00FE03E5" w:rsidRPr="00FE03E5" w:rsidRDefault="00FE03E5" w:rsidP="00FE03E5">
      <w:pPr>
        <w:numPr>
          <w:ilvl w:val="0"/>
          <w:numId w:val="3"/>
        </w:numPr>
      </w:pPr>
      <w:r w:rsidRPr="00FE03E5">
        <w:rPr>
          <w:b/>
          <w:bCs/>
        </w:rPr>
        <w:t>Municipalities and Residents</w:t>
      </w:r>
      <w:r w:rsidRPr="00FE03E5">
        <w:t>: There are obvious common interests between municipalities and residents. The main concern for both is to ensure the safety and well-being of residents, so their cooperation on evacuation plans and flood risk assessments is particularly important. By working together, municipalities can better understand and address the concerns of residents, ensuring that flood mitigation measures are effective and publicly supported.</w:t>
      </w:r>
    </w:p>
    <w:p w14:paraId="798FD6D3" w14:textId="77777777" w:rsidR="00FE03E5" w:rsidRPr="00FE03E5" w:rsidRDefault="00FE03E5" w:rsidP="00FE03E5">
      <w:pPr>
        <w:numPr>
          <w:ilvl w:val="0"/>
          <w:numId w:val="3"/>
        </w:numPr>
      </w:pPr>
      <w:r w:rsidRPr="00FE03E5">
        <w:rPr>
          <w:b/>
          <w:bCs/>
        </w:rPr>
        <w:t xml:space="preserve">Rijkswaterstaat and </w:t>
      </w:r>
      <w:proofErr w:type="spellStart"/>
      <w:r w:rsidRPr="00FE03E5">
        <w:rPr>
          <w:b/>
          <w:bCs/>
        </w:rPr>
        <w:t>Waterschappen</w:t>
      </w:r>
      <w:proofErr w:type="spellEnd"/>
      <w:r w:rsidRPr="00FE03E5">
        <w:t>: These entities share the responsibility for managing and maintaining the country's main and regional water defense systems. They work together to design, implement, and maintain effective flood protection measures to ensure long-term sustainability. Their combined efforts in leveraging AI for real-time data analysis and predictive maintenance can enhance the overall efficiency and reliability of the water management systems.</w:t>
      </w:r>
    </w:p>
    <w:p w14:paraId="1E314EC5" w14:textId="77777777" w:rsidR="00FE03E5" w:rsidRPr="00FE03E5" w:rsidRDefault="00FE03E5" w:rsidP="00FE03E5">
      <w:pPr>
        <w:numPr>
          <w:ilvl w:val="0"/>
          <w:numId w:val="3"/>
        </w:numPr>
      </w:pPr>
      <w:r w:rsidRPr="00FE03E5">
        <w:rPr>
          <w:b/>
          <w:bCs/>
        </w:rPr>
        <w:t>Ministry of Infrastructure and Water Management and Research Institutes</w:t>
      </w:r>
      <w:r w:rsidRPr="00FE03E5">
        <w:t>: The alliance between these entities is based on a common concern for sustainable flood management. They can promote the integration of economic development and environmental protection through official and private efforts. Research institutes provide the necessary scientific and technical expertise, enabling the Ministry to formulate policies that are both effective and grounded in the latest research.</w:t>
      </w:r>
    </w:p>
    <w:p w14:paraId="64A7A79E" w14:textId="77777777" w:rsidR="00FE03E5" w:rsidRPr="00FE03E5" w:rsidRDefault="00FE03E5" w:rsidP="00FE03E5">
      <w:pPr>
        <w:numPr>
          <w:ilvl w:val="0"/>
          <w:numId w:val="3"/>
        </w:numPr>
      </w:pPr>
      <w:r w:rsidRPr="00FE03E5">
        <w:rPr>
          <w:b/>
          <w:bCs/>
        </w:rPr>
        <w:t>Ministry of Economic Affairs and Climate Policy and Companies</w:t>
      </w:r>
      <w:r w:rsidRPr="00FE03E5">
        <w:t>: This coalition focuses on balancing economic development with climate change adaptation. Companies can demonstrate AI capabilities and provide technical guidance, while the Ministry facilitates collaboration and addresses concerns about reliability and ethical use. Together, they ensure that economic activities are resilient to flooding and contribute to overall climate adaptation strategies.</w:t>
      </w:r>
    </w:p>
    <w:p w14:paraId="0ED64041" w14:textId="77777777" w:rsidR="00FE03E5" w:rsidRPr="00FE03E5" w:rsidRDefault="00FE03E5" w:rsidP="00FE03E5">
      <w:pPr>
        <w:numPr>
          <w:ilvl w:val="0"/>
          <w:numId w:val="3"/>
        </w:numPr>
      </w:pPr>
      <w:r w:rsidRPr="00FE03E5">
        <w:rPr>
          <w:b/>
          <w:bCs/>
        </w:rPr>
        <w:t xml:space="preserve">Slim </w:t>
      </w:r>
      <w:proofErr w:type="spellStart"/>
      <w:r w:rsidRPr="00FE03E5">
        <w:rPr>
          <w:b/>
          <w:bCs/>
        </w:rPr>
        <w:t>Watermanagement</w:t>
      </w:r>
      <w:proofErr w:type="spellEnd"/>
      <w:r w:rsidRPr="00FE03E5">
        <w:rPr>
          <w:b/>
          <w:bCs/>
        </w:rPr>
        <w:t xml:space="preserve"> and Regional Water Authorities</w:t>
      </w:r>
      <w:r w:rsidRPr="00FE03E5">
        <w:t xml:space="preserve">: Both entities support the implementation of national policies at the regional level. Slim </w:t>
      </w:r>
      <w:proofErr w:type="spellStart"/>
      <w:r w:rsidRPr="00FE03E5">
        <w:t>Watermanagement</w:t>
      </w:r>
      <w:proofErr w:type="spellEnd"/>
      <w:r w:rsidRPr="00FE03E5">
        <w:t xml:space="preserve"> provides guidance and resources, while regional water authorities, such as the Regional Water Authority </w:t>
      </w:r>
      <w:proofErr w:type="spellStart"/>
      <w:r w:rsidRPr="00FE03E5">
        <w:t>Brabantse</w:t>
      </w:r>
      <w:proofErr w:type="spellEnd"/>
      <w:r w:rsidRPr="00FE03E5">
        <w:t xml:space="preserve"> Delta, take the initiative to implement modeling and ensure local water quality and supply. Their collaboration ensures that national policies are effectively adapted to </w:t>
      </w:r>
      <w:r w:rsidRPr="00FE03E5">
        <w:lastRenderedPageBreak/>
        <w:t>regional contexts.</w:t>
      </w:r>
    </w:p>
    <w:p w14:paraId="4C6BA7A6" w14:textId="77777777" w:rsidR="00FE03E5" w:rsidRPr="00FE03E5" w:rsidRDefault="00FE03E5" w:rsidP="00FE03E5">
      <w:pPr>
        <w:numPr>
          <w:ilvl w:val="0"/>
          <w:numId w:val="3"/>
        </w:numPr>
      </w:pPr>
      <w:proofErr w:type="spellStart"/>
      <w:r w:rsidRPr="00FE03E5">
        <w:rPr>
          <w:b/>
          <w:bCs/>
        </w:rPr>
        <w:t>Bestuurlijk</w:t>
      </w:r>
      <w:proofErr w:type="spellEnd"/>
      <w:r w:rsidRPr="00FE03E5">
        <w:rPr>
          <w:b/>
          <w:bCs/>
        </w:rPr>
        <w:t xml:space="preserve"> Platform </w:t>
      </w:r>
      <w:proofErr w:type="spellStart"/>
      <w:r w:rsidRPr="00FE03E5">
        <w:rPr>
          <w:b/>
          <w:bCs/>
        </w:rPr>
        <w:t>Zoetwater</w:t>
      </w:r>
      <w:proofErr w:type="spellEnd"/>
      <w:r w:rsidRPr="00FE03E5">
        <w:rPr>
          <w:b/>
          <w:bCs/>
        </w:rPr>
        <w:t xml:space="preserve"> (BPZ) and Rijkswaterstaat</w:t>
      </w:r>
      <w:r w:rsidRPr="00FE03E5">
        <w:t xml:space="preserve">: BPZ advises on strategies for river plans and the allocation of the </w:t>
      </w:r>
      <w:proofErr w:type="spellStart"/>
      <w:r w:rsidRPr="00FE03E5">
        <w:t>Deltafondsbudget</w:t>
      </w:r>
      <w:proofErr w:type="spellEnd"/>
      <w:r w:rsidRPr="00FE03E5">
        <w:t>, while Rijkswaterstaat manages the main water defense systems and leads policy discussions. Their coalition ensures that strategic planning is aligned with practical implementation, optimizing the use of available resources for flood mitigation.</w:t>
      </w:r>
    </w:p>
    <w:p w14:paraId="590B6152" w14:textId="77777777" w:rsidR="00FE03E5" w:rsidRPr="00FE03E5" w:rsidRDefault="00FE03E5" w:rsidP="00FE03E5">
      <w:pPr>
        <w:numPr>
          <w:ilvl w:val="0"/>
          <w:numId w:val="3"/>
        </w:numPr>
      </w:pPr>
      <w:r w:rsidRPr="00FE03E5">
        <w:rPr>
          <w:b/>
          <w:bCs/>
        </w:rPr>
        <w:t>Municipalities and Media</w:t>
      </w:r>
      <w:r w:rsidRPr="00FE03E5">
        <w:t>: Municipalities rely on the media to communicate flood risk assessments, evacuation plans, and resource allocation decisions to the public. The media plays a crucial role in shaping public opinion and ensuring that residents are well-informed about flood mitigation measures. This partnership is essential for maintaining public trust and ensuring compliance with flood protection strategies.</w:t>
      </w:r>
    </w:p>
    <w:p w14:paraId="24A174B6" w14:textId="77777777" w:rsidR="00FE03E5" w:rsidRPr="00FE03E5" w:rsidRDefault="00FE03E5" w:rsidP="00FE03E5">
      <w:r w:rsidRPr="00FE03E5">
        <w:t>Through the above theoretical Actor Coalitions on Shared Values, all stakeholders can better coordinate and cooperate in the design and implementation of AI-driven flood mitigation strategies, ensuring that diverse goals can be integrated and ultimately achieving sustainable flood prevention solutions.</w:t>
      </w:r>
    </w:p>
    <w:p w14:paraId="681C2DB2" w14:textId="77777777" w:rsidR="0068691B" w:rsidRPr="00FE03E5" w:rsidRDefault="0068691B" w:rsidP="0068691B"/>
    <w:p w14:paraId="1C11FFCD" w14:textId="77777777" w:rsidR="0068691B" w:rsidRDefault="0068691B" w:rsidP="0068691B"/>
    <w:p w14:paraId="798F11CB" w14:textId="77777777" w:rsidR="0068691B" w:rsidRDefault="0068691B" w:rsidP="0068691B"/>
    <w:p w14:paraId="6E7F7B3A" w14:textId="77777777" w:rsidR="00A42B5B" w:rsidRPr="0068691B" w:rsidRDefault="00A42B5B" w:rsidP="0068691B"/>
    <w:sectPr w:rsidR="00A42B5B" w:rsidRPr="0068691B" w:rsidSect="006869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69758" w14:textId="77777777" w:rsidR="001622B4" w:rsidRDefault="001622B4">
      <w:pPr>
        <w:spacing w:line="240" w:lineRule="auto"/>
      </w:pPr>
      <w:r>
        <w:separator/>
      </w:r>
    </w:p>
  </w:endnote>
  <w:endnote w:type="continuationSeparator" w:id="0">
    <w:p w14:paraId="67B31AD5" w14:textId="77777777" w:rsidR="001622B4" w:rsidRDefault="001622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MBXTI10">
    <w:altName w:val="Calibri"/>
    <w:charset w:val="00"/>
    <w:family w:val="auto"/>
    <w:pitch w:val="default"/>
  </w:font>
  <w:font w:name="CMTI9">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71B6D" w14:textId="77777777" w:rsidR="001622B4" w:rsidRDefault="001622B4">
      <w:pPr>
        <w:spacing w:after="0"/>
      </w:pPr>
      <w:r>
        <w:separator/>
      </w:r>
    </w:p>
  </w:footnote>
  <w:footnote w:type="continuationSeparator" w:id="0">
    <w:p w14:paraId="7249311D" w14:textId="77777777" w:rsidR="001622B4" w:rsidRDefault="001622B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4B5BC3"/>
    <w:multiLevelType w:val="hybridMultilevel"/>
    <w:tmpl w:val="0E1A691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7823A7F"/>
    <w:multiLevelType w:val="multilevel"/>
    <w:tmpl w:val="A65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DCE1D"/>
    <w:multiLevelType w:val="singleLevel"/>
    <w:tmpl w:val="7F2DCE1D"/>
    <w:lvl w:ilvl="0">
      <w:start w:val="1"/>
      <w:numFmt w:val="bullet"/>
      <w:lvlText w:val=""/>
      <w:lvlJc w:val="left"/>
      <w:pPr>
        <w:ind w:left="420" w:hanging="420"/>
      </w:pPr>
      <w:rPr>
        <w:rFonts w:ascii="Wingdings" w:hAnsi="Wingdings" w:hint="default"/>
      </w:rPr>
    </w:lvl>
  </w:abstractNum>
  <w:num w:numId="1" w16cid:durableId="1536037259">
    <w:abstractNumId w:val="2"/>
  </w:num>
  <w:num w:numId="2" w16cid:durableId="761268562">
    <w:abstractNumId w:val="0"/>
  </w:num>
  <w:num w:numId="3" w16cid:durableId="142894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UxMTk0ZTQwM2E1OTBmNjFkN2I4Nzk4NjU1NmU2ZjkifQ=="/>
  </w:docVars>
  <w:rsids>
    <w:rsidRoot w:val="005E7C6A"/>
    <w:rsid w:val="001622B4"/>
    <w:rsid w:val="001F1F6C"/>
    <w:rsid w:val="004563F5"/>
    <w:rsid w:val="00555E5A"/>
    <w:rsid w:val="005E7C6A"/>
    <w:rsid w:val="0068691B"/>
    <w:rsid w:val="00771557"/>
    <w:rsid w:val="007F41B2"/>
    <w:rsid w:val="009055C8"/>
    <w:rsid w:val="00992A39"/>
    <w:rsid w:val="009A4C9D"/>
    <w:rsid w:val="009D6ADD"/>
    <w:rsid w:val="00A37E95"/>
    <w:rsid w:val="00A42B5B"/>
    <w:rsid w:val="00AF5F97"/>
    <w:rsid w:val="00EE60A1"/>
    <w:rsid w:val="00EF2744"/>
    <w:rsid w:val="00FA2C89"/>
    <w:rsid w:val="00FE03E5"/>
    <w:rsid w:val="153320AA"/>
    <w:rsid w:val="213069D8"/>
    <w:rsid w:val="596811C3"/>
    <w:rsid w:val="789254BD"/>
    <w:rsid w:val="78DB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42F7C7B"/>
  <w15:docId w15:val="{2D917DCC-A0EB-4D67-BE4B-A1C747FB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68691B"/>
    <w:pPr>
      <w:widowControl w:val="0"/>
      <w:spacing w:after="160" w:line="278" w:lineRule="auto"/>
    </w:pPr>
    <w:rPr>
      <w:rFonts w:asciiTheme="minorHAnsi" w:eastAsiaTheme="minorEastAsia" w:hAnsiTheme="minorHAnsi" w:cstheme="minorBidi"/>
      <w:kern w:val="2"/>
      <w:sz w:val="22"/>
      <w:szCs w:val="24"/>
      <w14:ligatures w14:val="standardContextual"/>
    </w:rPr>
  </w:style>
  <w:style w:type="paragraph" w:styleId="1">
    <w:name w:val="heading 1"/>
    <w:basedOn w:val="a"/>
    <w:next w:val="a"/>
    <w:link w:val="10"/>
    <w:autoRedefine/>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autoRedefine/>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pPr>
    <w:rPr>
      <w:sz w:val="18"/>
      <w:szCs w:val="18"/>
    </w:rPr>
  </w:style>
  <w:style w:type="paragraph" w:styleId="a5">
    <w:name w:val="header"/>
    <w:basedOn w:val="a"/>
    <w:link w:val="a6"/>
    <w:uiPriority w:val="99"/>
    <w:unhideWhenUsed/>
    <w:pPr>
      <w:tabs>
        <w:tab w:val="center" w:pos="4153"/>
        <w:tab w:val="right" w:pos="8306"/>
      </w:tabs>
      <w:snapToGrid w:val="0"/>
      <w:spacing w:line="240" w:lineRule="auto"/>
      <w:jc w:val="center"/>
    </w:pPr>
    <w:rPr>
      <w:sz w:val="18"/>
      <w:szCs w:val="18"/>
    </w:rPr>
  </w:style>
  <w:style w:type="paragraph" w:styleId="a7">
    <w:name w:val="Subtitle"/>
    <w:basedOn w:val="a"/>
    <w:next w:val="a"/>
    <w:link w:val="a8"/>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Times New Roman" w:hint="eastAsia"/>
      <w:kern w:val="0"/>
      <w:sz w:val="24"/>
    </w:rPr>
  </w:style>
  <w:style w:type="paragraph" w:styleId="a9">
    <w:name w:val="Title"/>
    <w:basedOn w:val="a"/>
    <w:next w:val="a"/>
    <w:link w:val="aa"/>
    <w:autoRedefine/>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table" w:styleId="ab">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Hyperlink"/>
    <w:basedOn w:val="a0"/>
    <w:uiPriority w:val="99"/>
    <w:unhideWhenUsed/>
    <w:rPr>
      <w:color w:val="0000FF"/>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rPr>
  </w:style>
  <w:style w:type="paragraph" w:styleId="ae">
    <w:name w:val="Quote"/>
    <w:basedOn w:val="a"/>
    <w:next w:val="a"/>
    <w:link w:val="af"/>
    <w:uiPriority w:val="29"/>
    <w:qFormat/>
    <w:pPr>
      <w:spacing w:before="160"/>
      <w:jc w:val="center"/>
    </w:pPr>
    <w:rPr>
      <w:i/>
      <w:iCs/>
      <w:color w:val="404040" w:themeColor="text1" w:themeTint="BF"/>
    </w:rPr>
  </w:style>
  <w:style w:type="character" w:customStyle="1" w:styleId="af">
    <w:name w:val="引用 字符"/>
    <w:basedOn w:val="a0"/>
    <w:link w:val="ae"/>
    <w:uiPriority w:val="29"/>
    <w:rPr>
      <w:i/>
      <w:iCs/>
      <w:color w:val="404040" w:themeColor="text1" w:themeTint="BF"/>
    </w:rPr>
  </w:style>
  <w:style w:type="paragraph" w:styleId="af0">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1">
    <w:name w:val="Intense Quote"/>
    <w:basedOn w:val="a"/>
    <w:next w:val="a"/>
    <w:link w:val="af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f3">
    <w:name w:val="annotation reference"/>
    <w:basedOn w:val="a0"/>
    <w:uiPriority w:val="99"/>
    <w:semiHidden/>
    <w:unhideWhenUsed/>
    <w:rsid w:val="0068691B"/>
    <w:rPr>
      <w:sz w:val="16"/>
      <w:szCs w:val="16"/>
    </w:rPr>
  </w:style>
  <w:style w:type="paragraph" w:styleId="af4">
    <w:name w:val="annotation text"/>
    <w:basedOn w:val="a"/>
    <w:link w:val="af5"/>
    <w:uiPriority w:val="99"/>
    <w:unhideWhenUsed/>
    <w:rsid w:val="0068691B"/>
    <w:pPr>
      <w:spacing w:line="240" w:lineRule="auto"/>
    </w:pPr>
    <w:rPr>
      <w:sz w:val="20"/>
      <w:szCs w:val="20"/>
    </w:rPr>
  </w:style>
  <w:style w:type="character" w:customStyle="1" w:styleId="af5">
    <w:name w:val="批注文字 字符"/>
    <w:basedOn w:val="a0"/>
    <w:link w:val="af4"/>
    <w:uiPriority w:val="99"/>
    <w:rsid w:val="0068691B"/>
    <w:rPr>
      <w:rFonts w:asciiTheme="minorHAnsi" w:eastAsiaTheme="minorEastAsia" w:hAnsiTheme="minorHAnsi" w:cstheme="minorBidi"/>
      <w:kern w:val="2"/>
      <w14:ligatures w14:val="standardContextual"/>
    </w:rPr>
  </w:style>
  <w:style w:type="character" w:styleId="af6">
    <w:name w:val="Unresolved Mention"/>
    <w:basedOn w:val="a0"/>
    <w:uiPriority w:val="99"/>
    <w:semiHidden/>
    <w:unhideWhenUsed/>
    <w:rsid w:val="0077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10864">
      <w:bodyDiv w:val="1"/>
      <w:marLeft w:val="0"/>
      <w:marRight w:val="0"/>
      <w:marTop w:val="0"/>
      <w:marBottom w:val="0"/>
      <w:divBdr>
        <w:top w:val="none" w:sz="0" w:space="0" w:color="auto"/>
        <w:left w:val="none" w:sz="0" w:space="0" w:color="auto"/>
        <w:bottom w:val="none" w:sz="0" w:space="0" w:color="auto"/>
        <w:right w:val="none" w:sz="0" w:space="0" w:color="auto"/>
      </w:divBdr>
    </w:div>
    <w:div w:id="97309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ltare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ijksoverheid.nl/documenten/rapporten/2022/03/18/bijlage-nationaal-water-programma-2022-20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B61B2-3C52-42D7-9B13-E16C7461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8</Pages>
  <Words>2092</Words>
  <Characters>11928</Characters>
  <Application>Microsoft Office Word</Application>
  <DocSecurity>0</DocSecurity>
  <Lines>99</Lines>
  <Paragraphs>27</Paragraphs>
  <ScaleCrop>false</ScaleCrop>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Yuxiao Ma</dc:creator>
  <cp:lastModifiedBy>Yuxiao Ma</cp:lastModifiedBy>
  <cp:revision>6</cp:revision>
  <dcterms:created xsi:type="dcterms:W3CDTF">2024-06-04T14:30:00Z</dcterms:created>
  <dcterms:modified xsi:type="dcterms:W3CDTF">2024-06-11T00:08:00Z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805B1D9C08FF4566B4D157718904C528_12</vt:lpwstr>
  </property>
</Properties>
</file>