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0A75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数据集简单</w:t>
      </w:r>
    </w:p>
    <w:p w14:paraId="28734AE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对比方法比较简单（陆）</w:t>
      </w:r>
    </w:p>
    <w:p w14:paraId="7C36598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Method公式推导</w:t>
      </w:r>
    </w:p>
    <w:p w14:paraId="28843B4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Token数</w:t>
      </w:r>
    </w:p>
    <w:p w14:paraId="5FA6A9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并行(尝试)，一个epoch里调三个agent</w:t>
      </w:r>
    </w:p>
    <w:p w14:paraId="7C4427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随机性</w:t>
      </w:r>
    </w:p>
    <w:p w14:paraId="4944C3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可解释性</w:t>
      </w:r>
    </w:p>
    <w:p w14:paraId="2EB6B56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Prompt模板和baseline设置</w:t>
      </w:r>
    </w:p>
    <w:p w14:paraId="154A2948">
      <w:pPr>
        <w:numPr>
          <w:numId w:val="0"/>
        </w:numPr>
        <w:rPr>
          <w:rFonts w:hint="default"/>
          <w:lang w:val="en-US" w:eastAsia="zh-CN"/>
        </w:rPr>
      </w:pPr>
    </w:p>
    <w:p w14:paraId="6660C652">
      <w:pPr>
        <w:numPr>
          <w:numId w:val="0"/>
        </w:numPr>
        <w:rPr>
          <w:rFonts w:hint="default"/>
          <w:lang w:val="en-US" w:eastAsia="zh-CN"/>
        </w:rPr>
      </w:pPr>
    </w:p>
    <w:p w14:paraId="107C5F1B">
      <w:pPr>
        <w:numPr>
          <w:numId w:val="0"/>
        </w:numPr>
        <w:rPr>
          <w:rFonts w:hint="default"/>
          <w:lang w:val="en-US" w:eastAsia="zh-CN"/>
        </w:rPr>
      </w:pPr>
    </w:p>
    <w:p w14:paraId="216DD970">
      <w:pPr>
        <w:numPr>
          <w:numId w:val="0"/>
        </w:numPr>
        <w:rPr>
          <w:rFonts w:hint="default"/>
          <w:lang w:val="en-US" w:eastAsia="zh-CN"/>
        </w:rPr>
      </w:pPr>
    </w:p>
    <w:p w14:paraId="5F11BF51">
      <w:pPr>
        <w:numPr>
          <w:numId w:val="0"/>
        </w:numPr>
        <w:rPr>
          <w:rFonts w:hint="default"/>
          <w:lang w:val="en-US" w:eastAsia="zh-CN"/>
        </w:rPr>
      </w:pPr>
    </w:p>
    <w:p w14:paraId="1D9373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加哪些Dataset，现有实验跑完（包括消融），代码整理</w:t>
      </w:r>
    </w:p>
    <w:p w14:paraId="0BBA28FE">
      <w:pPr>
        <w:numPr>
          <w:numId w:val="0"/>
        </w:numPr>
        <w:rPr>
          <w:rFonts w:hint="eastAsia"/>
          <w:lang w:val="en-US" w:eastAsia="zh-CN"/>
        </w:rPr>
      </w:pPr>
    </w:p>
    <w:p w14:paraId="26A0A36D">
      <w:pPr>
        <w:numPr>
          <w:numId w:val="0"/>
        </w:numPr>
        <w:rPr>
          <w:rFonts w:hint="eastAsia"/>
          <w:lang w:val="en-US" w:eastAsia="zh-CN"/>
        </w:rPr>
      </w:pPr>
    </w:p>
    <w:p w14:paraId="31FAD443">
      <w:pPr>
        <w:numPr>
          <w:numId w:val="0"/>
        </w:numPr>
        <w:rPr>
          <w:rFonts w:hint="eastAsia"/>
          <w:lang w:val="en-US" w:eastAsia="zh-CN"/>
        </w:rPr>
      </w:pPr>
    </w:p>
    <w:p w14:paraId="748A3C3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数据增强agent把所有候选项都放上去了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  strategy agent没有收到现有的损失函数和优化器</w:t>
      </w:r>
    </w:p>
    <w:p w14:paraId="545B552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Judger的反馈没有落实</w:t>
      </w:r>
    </w:p>
    <w:p w14:paraId="48741E3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511F41B">
      <w:pPr>
        <w:numPr>
          <w:numId w:val="0"/>
        </w:numPr>
        <w:ind w:leftChars="0"/>
        <w:rPr>
          <w:rFonts w:hint="eastAsia"/>
          <w:lang w:val="en-US" w:eastAsia="zh-CN"/>
        </w:rPr>
      </w:pPr>
    </w:p>
    <w:tbl>
      <w:tblPr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956"/>
        <w:gridCol w:w="1071"/>
        <w:gridCol w:w="996"/>
        <w:gridCol w:w="5475"/>
      </w:tblGrid>
      <w:tr w14:paraId="3485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956" w:type="dxa"/>
            <w:tcBorders>
              <w:top w:val="nil"/>
            </w:tcBorders>
            <w:shd w:val="clear" w:color="auto" w:fill="FFFFFF"/>
            <w:vAlign w:val="center"/>
          </w:tcPr>
          <w:p w14:paraId="0D3C83BE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任务类型</w:t>
            </w:r>
          </w:p>
        </w:tc>
        <w:tc>
          <w:tcPr>
            <w:tcW w:w="1071" w:type="dxa"/>
            <w:tcBorders>
              <w:top w:val="nil"/>
            </w:tcBorders>
            <w:shd w:val="clear" w:color="auto" w:fill="FFFFFF"/>
            <w:vAlign w:val="center"/>
          </w:tcPr>
          <w:p w14:paraId="3BC8AEA9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代表性任务</w:t>
            </w:r>
          </w:p>
        </w:tc>
        <w:tc>
          <w:tcPr>
            <w:tcW w:w="996" w:type="dxa"/>
            <w:tcBorders>
              <w:top w:val="nil"/>
            </w:tcBorders>
            <w:shd w:val="clear" w:color="auto" w:fill="FFFFFF"/>
            <w:vAlign w:val="center"/>
          </w:tcPr>
          <w:p w14:paraId="40B8E545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数据集举例</w:t>
            </w:r>
          </w:p>
        </w:tc>
        <w:tc>
          <w:tcPr>
            <w:tcW w:w="5475" w:type="dxa"/>
            <w:tcBorders>
              <w:top w:val="nil"/>
            </w:tcBorders>
            <w:shd w:val="clear" w:color="auto" w:fill="FFFFFF"/>
            <w:vAlign w:val="center"/>
          </w:tcPr>
          <w:p w14:paraId="473C3AE6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数据集规模与特点</w:t>
            </w:r>
          </w:p>
        </w:tc>
      </w:tr>
      <w:tr w14:paraId="68A24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99D5D9B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通用图像分类</w:t>
            </w:r>
          </w:p>
        </w:tc>
        <w:tc>
          <w:tcPr>
            <w:tcW w:w="1071" w:type="dxa"/>
            <w:shd w:val="clear" w:color="auto" w:fill="FFFFFF"/>
            <w:vAlign w:val="center"/>
          </w:tcPr>
          <w:p w14:paraId="00E975D6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精细图像分类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2ACD86DB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CIFAR-100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"https://docs.ultralytics.com/zh/datasets/classify/cifar100/"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71954ECB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包含100个类别，共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60,000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张32x32的彩色图像。</w:t>
            </w:r>
          </w:p>
        </w:tc>
      </w:tr>
      <w:tr w14:paraId="03CFB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00"/>
            <w:vAlign w:val="center"/>
          </w:tcPr>
          <w:p w14:paraId="5D9DBF94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目标检测</w:t>
            </w:r>
          </w:p>
        </w:tc>
        <w:tc>
          <w:tcPr>
            <w:tcW w:w="1071" w:type="dxa"/>
            <w:shd w:val="clear" w:color="auto" w:fill="FFFF00"/>
            <w:vAlign w:val="center"/>
          </w:tcPr>
          <w:p w14:paraId="3F1F7D0C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通用目标检测</w:t>
            </w:r>
          </w:p>
        </w:tc>
        <w:tc>
          <w:tcPr>
            <w:tcW w:w="996" w:type="dxa"/>
            <w:shd w:val="clear" w:color="auto" w:fill="FFFF00"/>
            <w:vAlign w:val="center"/>
          </w:tcPr>
          <w:p w14:paraId="609955D6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COCO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"https://cloud.baidu.com/article/3823626"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00"/>
            <w:vAlign w:val="center"/>
          </w:tcPr>
          <w:p w14:paraId="0A450A7E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约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33万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张图像，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150万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个标注实例，包含80个物体类别，场景复杂，小目标多。</w:t>
            </w:r>
          </w:p>
        </w:tc>
      </w:tr>
      <w:tr w14:paraId="1AF2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43EDC25D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071" w:type="dxa"/>
            <w:shd w:val="clear" w:color="auto" w:fill="FFFFFF"/>
            <w:vAlign w:val="center"/>
          </w:tcPr>
          <w:p w14:paraId="5B36A063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垂直领域目标检测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760B1EF0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Objects365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"https://hub.baai.ac.cn/view/29138"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57B94ED6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规模巨大，包含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超过60万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张图像，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1000万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个标注框，涵盖365个类别，用于高质量的特征学习。</w:t>
            </w:r>
          </w:p>
        </w:tc>
      </w:tr>
      <w:tr w14:paraId="3CFFC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00"/>
            <w:vAlign w:val="center"/>
          </w:tcPr>
          <w:p w14:paraId="3D85AA73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语义分割</w:t>
            </w:r>
          </w:p>
        </w:tc>
        <w:tc>
          <w:tcPr>
            <w:tcW w:w="1071" w:type="dxa"/>
            <w:shd w:val="clear" w:color="auto" w:fill="FFFF00"/>
            <w:vAlign w:val="center"/>
          </w:tcPr>
          <w:p w14:paraId="2ECC7234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通用场景分割</w:t>
            </w:r>
          </w:p>
        </w:tc>
        <w:tc>
          <w:tcPr>
            <w:tcW w:w="996" w:type="dxa"/>
            <w:shd w:val="clear" w:color="auto" w:fill="FFFF00"/>
            <w:vAlign w:val="center"/>
          </w:tcPr>
          <w:p w14:paraId="300FCC84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PASCAL-Context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"https://flageval.baai.ac.cn/docs/cv/Multi-TaskLearning/Multi-TaskLearning.html"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00"/>
            <w:vAlign w:val="center"/>
          </w:tcPr>
          <w:p w14:paraId="1998F089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10,103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张图像，标注涵盖了语义分割、人体部分分割等多种任务。</w:t>
            </w:r>
          </w:p>
        </w:tc>
      </w:tr>
      <w:tr w14:paraId="4CE9E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9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9A58607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071" w:type="dxa"/>
            <w:shd w:val="clear" w:color="auto" w:fill="FFFFFF"/>
            <w:vAlign w:val="center"/>
          </w:tcPr>
          <w:p w14:paraId="393C97AF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室内场景分割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52E6252B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SUN RGB-D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"https://flageval.baai.ac.cn/docs/cv/Multi-TaskLearning/Multi-TaskLearning.html"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32A5ADDF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10,335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个RGB-D样本，用于室内场景的语义分割与深度估计。</w:t>
            </w:r>
          </w:p>
        </w:tc>
      </w:tr>
      <w:tr w14:paraId="087D7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3FB1F57D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垂直领域应用</w:t>
            </w:r>
          </w:p>
        </w:tc>
        <w:tc>
          <w:tcPr>
            <w:tcW w:w="1071" w:type="dxa"/>
            <w:shd w:val="clear" w:color="auto" w:fill="FFFFFF"/>
            <w:vAlign w:val="center"/>
          </w:tcPr>
          <w:p w14:paraId="7927DFF1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医疗影像分类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590A7104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MedMNIST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"https://hub.baai.ac.cn/view/11297"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"https://www.zhuanzhi.ai/document/f688bb3a5b5d3d4978556f4ce8d532ac"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174939FE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一个轻量级基准，包含18个2D和3D数据集，图像统一为28x28(2D)或28x28x28(3D)，便于快速原型设计。</w:t>
            </w:r>
          </w:p>
        </w:tc>
      </w:tr>
      <w:tr w14:paraId="43E06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1125C587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071" w:type="dxa"/>
            <w:shd w:val="clear" w:color="auto" w:fill="FFFFFF"/>
            <w:vAlign w:val="center"/>
          </w:tcPr>
          <w:p w14:paraId="34E50996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自动驾驶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2D7EB92E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BDD100K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instrText xml:space="preserve"> HYPERLINK "https://cloud.baidu.com/article/3823626"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964FE"/>
                <w:spacing w:val="0"/>
                <w:kern w:val="0"/>
                <w:sz w:val="21"/>
                <w:szCs w:val="21"/>
                <w:u w:val="none"/>
                <w:bdr w:val="single" w:color="auto" w:sz="8" w:space="0"/>
                <w:lang w:val="en-US" w:eastAsia="zh-CN" w:bidi="ar"/>
              </w:rPr>
              <w:fldChar w:fldCharType="end"/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2A2CFE2A">
            <w:pPr>
              <w:keepNext w:val="0"/>
              <w:keepLines w:val="0"/>
              <w:widowControl/>
              <w:suppressLineNumbers w:val="0"/>
              <w:snapToGrid w:val="0"/>
              <w:spacing w:line="188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10万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段驾驶视频帧，覆盖多种天气和光照条件。</w:t>
            </w:r>
          </w:p>
        </w:tc>
      </w:tr>
      <w:tr w14:paraId="7D292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00"/>
            <w:vAlign w:val="center"/>
          </w:tcPr>
          <w:p w14:paraId="2F4D17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文本分类</w:t>
            </w:r>
          </w:p>
        </w:tc>
        <w:tc>
          <w:tcPr>
            <w:tcW w:w="1071" w:type="dxa"/>
            <w:shd w:val="clear" w:color="auto" w:fill="FFFF00"/>
            <w:vAlign w:val="center"/>
          </w:tcPr>
          <w:p w14:paraId="272699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情感分析</w:t>
            </w:r>
          </w:p>
        </w:tc>
        <w:tc>
          <w:tcPr>
            <w:tcW w:w="996" w:type="dxa"/>
            <w:shd w:val="clear" w:color="auto" w:fill="FFFF00"/>
            <w:vAlign w:val="center"/>
          </w:tcPr>
          <w:p w14:paraId="6EE76E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IMDb Movie Reviews</w:t>
            </w:r>
          </w:p>
        </w:tc>
        <w:tc>
          <w:tcPr>
            <w:tcW w:w="5475" w:type="dxa"/>
            <w:shd w:val="clear" w:color="auto" w:fill="FFFF00"/>
            <w:vAlign w:val="center"/>
          </w:tcPr>
          <w:p w14:paraId="07DA25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50,000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 条电影评论（25k训练/25k测试），带有正面或负面标签。规模适中，是情感分析最常用的基准之一。</w:t>
            </w:r>
          </w:p>
        </w:tc>
      </w:tr>
      <w:tr w14:paraId="469E3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2B97AB4D">
            <w:pP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071" w:type="dxa"/>
            <w:shd w:val="clear" w:color="auto" w:fill="FFFFFF"/>
            <w:vAlign w:val="center"/>
          </w:tcPr>
          <w:p w14:paraId="35481B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新闻主题分类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4AC9E3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AG's News</w:t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444002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包含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127,600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篇新闻文章，分为4个类别（World, Sports, Business, Sci/Tech）。类别均衡，文本长度适中。</w:t>
            </w:r>
          </w:p>
        </w:tc>
      </w:tr>
      <w:tr w14:paraId="4EC4E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0DA64310">
            <w:pP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1071" w:type="dxa"/>
            <w:shd w:val="clear" w:color="auto" w:fill="FFFFFF"/>
            <w:vAlign w:val="center"/>
          </w:tcPr>
          <w:p w14:paraId="3A094D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垃圾邮件检测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3762C1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SMS Spam Collection</w:t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4B2E77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规模较小，约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5,574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条短信，标注为垃圾邮件（spam）或非垃圾邮件（ham）。非常适合极简原型验证。</w:t>
            </w:r>
          </w:p>
        </w:tc>
      </w:tr>
      <w:tr w14:paraId="6CFB7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00"/>
            <w:vAlign w:val="center"/>
          </w:tcPr>
          <w:p w14:paraId="40D494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序列标注</w:t>
            </w:r>
          </w:p>
        </w:tc>
        <w:tc>
          <w:tcPr>
            <w:tcW w:w="1071" w:type="dxa"/>
            <w:shd w:val="clear" w:color="auto" w:fill="FFFF00"/>
            <w:vAlign w:val="center"/>
          </w:tcPr>
          <w:p w14:paraId="32A539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命名实体识别</w:t>
            </w:r>
          </w:p>
        </w:tc>
        <w:tc>
          <w:tcPr>
            <w:tcW w:w="996" w:type="dxa"/>
            <w:shd w:val="clear" w:color="auto" w:fill="FFFF00"/>
            <w:vAlign w:val="center"/>
          </w:tcPr>
          <w:p w14:paraId="3B1A03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CoNLL-2003</w:t>
            </w:r>
          </w:p>
        </w:tc>
        <w:tc>
          <w:tcPr>
            <w:tcW w:w="5475" w:type="dxa"/>
            <w:shd w:val="clear" w:color="auto" w:fill="FFFF00"/>
            <w:vAlign w:val="center"/>
          </w:tcPr>
          <w:p w14:paraId="6FE42F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一个非常经典的小型基准数据集，包含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20,744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个句子，标注了人名、地名、组织机构名和杂项名称。</w:t>
            </w:r>
          </w:p>
        </w:tc>
      </w:tr>
      <w:tr w14:paraId="413E8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00"/>
            <w:vAlign w:val="center"/>
          </w:tcPr>
          <w:p w14:paraId="6F5871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文本生成</w:t>
            </w:r>
          </w:p>
        </w:tc>
        <w:tc>
          <w:tcPr>
            <w:tcW w:w="1071" w:type="dxa"/>
            <w:shd w:val="clear" w:color="auto" w:fill="FFFF00"/>
            <w:vAlign w:val="center"/>
          </w:tcPr>
          <w:p w14:paraId="165B64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下一个词预测</w:t>
            </w:r>
          </w:p>
        </w:tc>
        <w:tc>
          <w:tcPr>
            <w:tcW w:w="996" w:type="dxa"/>
            <w:shd w:val="clear" w:color="auto" w:fill="FFFF00"/>
            <w:vAlign w:val="center"/>
          </w:tcPr>
          <w:p w14:paraId="793700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TinyShakespeare</w:t>
            </w:r>
          </w:p>
        </w:tc>
        <w:tc>
          <w:tcPr>
            <w:tcW w:w="5475" w:type="dxa"/>
            <w:shd w:val="clear" w:color="auto" w:fill="FFFF00"/>
            <w:vAlign w:val="center"/>
          </w:tcPr>
          <w:p w14:paraId="74F59E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一个极小的文本文件（约1MB），包含莎士比亚的众多剧本。常用于演示字符级RNN/LSTM的文本生成能力。</w:t>
            </w:r>
          </w:p>
        </w:tc>
      </w:tr>
      <w:tr w14:paraId="745A4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956" w:type="dxa"/>
            <w:shd w:val="clear" w:color="auto" w:fill="FFFFFF"/>
            <w:vAlign w:val="center"/>
          </w:tcPr>
          <w:p w14:paraId="02713F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自然语言推理</w:t>
            </w:r>
          </w:p>
        </w:tc>
        <w:tc>
          <w:tcPr>
            <w:tcW w:w="1071" w:type="dxa"/>
            <w:shd w:val="clear" w:color="auto" w:fill="FFFFFF"/>
            <w:vAlign w:val="center"/>
          </w:tcPr>
          <w:p w14:paraId="7AC845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文本蕴含识别</w:t>
            </w:r>
          </w:p>
        </w:tc>
        <w:tc>
          <w:tcPr>
            <w:tcW w:w="996" w:type="dxa"/>
            <w:shd w:val="clear" w:color="auto" w:fill="FFFFFF"/>
            <w:vAlign w:val="center"/>
          </w:tcPr>
          <w:p w14:paraId="2F39AC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Stanford Sentiment Treebank</w:t>
            </w:r>
          </w:p>
        </w:tc>
        <w:tc>
          <w:tcPr>
            <w:tcW w:w="5475" w:type="dxa"/>
            <w:shd w:val="clear" w:color="auto" w:fill="FFFFFF"/>
            <w:vAlign w:val="center"/>
          </w:tcPr>
          <w:p w14:paraId="54A5D6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虽然主要用于情感分析，但其精细的句子级标注也适合用于理解句子含义。更专门的NLI小数据集如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SNLI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（570k句子对）规模稍大，但仍是重要基准。</w:t>
            </w:r>
          </w:p>
        </w:tc>
      </w:tr>
    </w:tbl>
    <w:p w14:paraId="15A6A66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B97F67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044F83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E33DD"/>
    <w:multiLevelType w:val="singleLevel"/>
    <w:tmpl w:val="A7DE33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40FF701"/>
    <w:multiLevelType w:val="singleLevel"/>
    <w:tmpl w:val="340FF7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22D88"/>
    <w:rsid w:val="15F829AC"/>
    <w:rsid w:val="1D814C4A"/>
    <w:rsid w:val="55180058"/>
    <w:rsid w:val="5FF23595"/>
    <w:rsid w:val="7882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2301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2025-10-15T13:03:27Z</dcterms:created>
  <dc:creator>24710</dc:creator>
  <cp:lastModifiedBy>胡禹成</cp:lastModifiedBy>
  <dcterms:modified xsi:type="dcterms:W3CDTF">2025-10-29T02:47:43Z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eyJoZGlkIjoiYjU4M2U3MDQ4MzE4ZWVkN2FjZWI2MmYwODE5Y2MyNDEiLCJ1c2VySWQiOiIxMjI0NDU3NTg3In0=</vt:lpwstr>
  </property>
  <property fmtid="{D5CDD505-2E9C-101B-9397-08002B2CF9AE}" pid="4" name="ICV">
    <vt:lpwstr>71ECA3FDA6AF4667B60D4D79C39443E1_12</vt:lpwstr>
  </property>
</Properties>
</file>