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Times New Roman" w:hAnsi="Times New Roman"/>
          <w:b/>
          <w:sz w:val="33"/>
        </w:rPr>
        <w:t>Yuxuan Ni</w:t>
      </w:r>
    </w:p>
    <w:p>
      <w:pPr>
        <w:spacing w:after="60"/>
        <w:jc w:val="center"/>
      </w:pPr>
      <w:r>
        <w:rPr>
          <w:rFonts w:ascii="Times New Roman" w:hAnsi="Times New Roman"/>
          <w:color w:val="333333"/>
          <w:sz w:val="15"/>
        </w:rPr>
        <w:t>(412) 618-9972 | yni5@crimson.ua.edu | github.com/YuxuanNi-25 | yuxuanni-25.github.io</w:t>
      </w:r>
    </w:p>
    <w:p>
      <w:pPr>
        <w:keepNext/>
        <w:spacing w:before="60" w:after="20"/>
        <w:pBdr>
          <w:bottom w:val="single" w:sz="5" w:space="1" w:color="7A8CA3"/>
        </w:pBdr>
      </w:pPr>
      <w:r>
        <w:rPr>
          <w:rFonts w:ascii="Times New Roman" w:hAnsi="Times New Roman"/>
          <w:b/>
          <w:color w:val="1F4D78"/>
          <w:sz w:val="20"/>
        </w:rPr>
        <w:t>EDUCATION</w:t>
      </w:r>
    </w:p>
    <w:tbl>
      <w:tblPr>
        <w:tblW w:type="dxa" w:w="10800"/>
        <w:tblLayout w:type="fixed"/>
        <w:tblLook w:firstColumn="1" w:firstRow="1" w:lastColumn="0" w:lastRow="0" w:noHBand="0" w:noVBand="1" w:val="04A0"/>
      </w:tblPr>
      <w:tblGrid>
        <w:gridCol w:w="8640"/>
        <w:gridCol w:w="2160"/>
      </w:tblGrid>
      <w:tr>
        <w:tc>
          <w:tcPr>
            <w:tcW w:type="dxa" w:w="864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before="0" w:after="0"/>
            </w:pPr>
            <w:r>
              <w:rPr>
                <w:rFonts w:ascii="Times New Roman" w:hAnsi="Times New Roman"/>
                <w:b/>
                <w:color w:val="111111"/>
                <w:sz w:val="16"/>
              </w:rPr>
              <w:t>The University of Alabama</w:t>
            </w:r>
          </w:p>
        </w:tc>
        <w:tc>
          <w:tcPr>
            <w:tcW w:type="dxa" w:w="216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rFonts w:ascii="Times New Roman" w:hAnsi="Times New Roman"/>
                <w:color w:val="111111"/>
                <w:sz w:val="15"/>
              </w:rPr>
              <w:t>Sep 2025 - Present</w:t>
            </w:r>
          </w:p>
        </w:tc>
      </w:tr>
    </w:tbl>
    <w:p>
      <w:pPr>
        <w:keepNext w:val="0"/>
        <w:spacing w:after="0"/>
      </w:pPr>
      <w:r>
        <w:rPr>
          <w:rFonts w:ascii="Times New Roman" w:hAnsi="Times New Roman"/>
          <w:i/>
          <w:color w:val="333333"/>
          <w:sz w:val="15"/>
        </w:rPr>
        <w:t>Ph.D., Electrical and Computer Engineering | Tuscaloosa, AL</w:t>
      </w:r>
    </w:p>
    <w:tbl>
      <w:tblPr>
        <w:tblW w:type="dxa" w:w="10800"/>
        <w:tblLayout w:type="fixed"/>
        <w:tblLook w:firstColumn="1" w:firstRow="1" w:lastColumn="0" w:lastRow="0" w:noHBand="0" w:noVBand="1" w:val="04A0"/>
      </w:tblPr>
      <w:tblGrid>
        <w:gridCol w:w="8640"/>
        <w:gridCol w:w="2160"/>
      </w:tblGrid>
      <w:tr>
        <w:tc>
          <w:tcPr>
            <w:tcW w:type="dxa" w:w="864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before="0" w:after="0"/>
            </w:pPr>
            <w:r>
              <w:rPr>
                <w:rFonts w:ascii="Times New Roman" w:hAnsi="Times New Roman"/>
                <w:b/>
                <w:color w:val="111111"/>
                <w:sz w:val="16"/>
              </w:rPr>
              <w:t>Carnegie Mellon University</w:t>
            </w:r>
          </w:p>
        </w:tc>
        <w:tc>
          <w:tcPr>
            <w:tcW w:type="dxa" w:w="216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rFonts w:ascii="Times New Roman" w:hAnsi="Times New Roman"/>
                <w:color w:val="111111"/>
                <w:sz w:val="15"/>
              </w:rPr>
              <w:t>Jan 2023 - Dec 2023</w:t>
            </w:r>
          </w:p>
        </w:tc>
      </w:tr>
    </w:tbl>
    <w:p>
      <w:pPr>
        <w:keepNext w:val="0"/>
        <w:spacing w:after="0"/>
      </w:pPr>
      <w:r>
        <w:rPr>
          <w:rFonts w:ascii="Times New Roman" w:hAnsi="Times New Roman"/>
          <w:i/>
          <w:color w:val="333333"/>
          <w:sz w:val="15"/>
        </w:rPr>
        <w:t>M.S. in Engineering &amp; Technology Innovation Management | Pittsburgh, PA</w:t>
      </w:r>
    </w:p>
    <w:tbl>
      <w:tblPr>
        <w:tblW w:type="dxa" w:w="10800"/>
        <w:tblLayout w:type="fixed"/>
        <w:tblLook w:firstColumn="1" w:firstRow="1" w:lastColumn="0" w:lastRow="0" w:noHBand="0" w:noVBand="1" w:val="04A0"/>
      </w:tblPr>
      <w:tblGrid>
        <w:gridCol w:w="8640"/>
        <w:gridCol w:w="2160"/>
      </w:tblGrid>
      <w:tr>
        <w:tc>
          <w:tcPr>
            <w:tcW w:type="dxa" w:w="864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before="0" w:after="0"/>
            </w:pPr>
            <w:r>
              <w:rPr>
                <w:rFonts w:ascii="Times New Roman" w:hAnsi="Times New Roman"/>
                <w:b/>
                <w:color w:val="111111"/>
                <w:sz w:val="16"/>
              </w:rPr>
              <w:t>UESTC / University of Glasgow</w:t>
            </w:r>
          </w:p>
        </w:tc>
        <w:tc>
          <w:tcPr>
            <w:tcW w:type="dxa" w:w="216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rFonts w:ascii="Times New Roman" w:hAnsi="Times New Roman"/>
                <w:color w:val="111111"/>
                <w:sz w:val="15"/>
              </w:rPr>
              <w:t>Sep 2018 - Jun 2022</w:t>
            </w:r>
          </w:p>
        </w:tc>
      </w:tr>
    </w:tbl>
    <w:p>
      <w:pPr>
        <w:keepNext w:val="0"/>
        <w:spacing w:after="0"/>
      </w:pPr>
      <w:r>
        <w:rPr>
          <w:rFonts w:ascii="Times New Roman" w:hAnsi="Times New Roman"/>
          <w:i/>
          <w:color w:val="333333"/>
          <w:sz w:val="15"/>
        </w:rPr>
        <w:t>B.E. in Communication Engineering; B.E. in Electronics and Electrical Engineering with Communications</w:t>
      </w:r>
    </w:p>
    <w:p>
      <w:pPr>
        <w:keepNext/>
        <w:spacing w:before="60" w:after="20"/>
        <w:pBdr>
          <w:bottom w:val="single" w:sz="5" w:space="1" w:color="7A8CA3"/>
        </w:pBdr>
      </w:pPr>
      <w:r>
        <w:rPr>
          <w:rFonts w:ascii="Times New Roman" w:hAnsi="Times New Roman"/>
          <w:b/>
          <w:color w:val="1F4D78"/>
          <w:sz w:val="20"/>
        </w:rPr>
        <w:t>SELECTED RESEARCH PROJECTS</w:t>
      </w:r>
    </w:p>
    <w:tbl>
      <w:tblPr>
        <w:tblW w:type="dxa" w:w="10800"/>
        <w:tblLayout w:type="fixed"/>
        <w:tblLook w:firstColumn="1" w:firstRow="1" w:lastColumn="0" w:lastRow="0" w:noHBand="0" w:noVBand="1" w:val="04A0"/>
      </w:tblPr>
      <w:tblGrid>
        <w:gridCol w:w="8640"/>
        <w:gridCol w:w="2160"/>
      </w:tblGrid>
      <w:tr>
        <w:tc>
          <w:tcPr>
            <w:tcW w:type="dxa" w:w="864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before="0" w:after="0"/>
            </w:pPr>
            <w:r>
              <w:rPr>
                <w:rFonts w:ascii="Times New Roman" w:hAnsi="Times New Roman"/>
                <w:b/>
                <w:color w:val="111111"/>
                <w:sz w:val="16"/>
              </w:rPr>
              <w:t>Bunker Multi-Sensor SLAM, Localization, and Mapping</w:t>
            </w:r>
          </w:p>
        </w:tc>
        <w:tc>
          <w:tcPr>
            <w:tcW w:type="dxa" w:w="216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rFonts w:ascii="Times New Roman" w:hAnsi="Times New Roman"/>
                <w:color w:val="111111"/>
                <w:sz w:val="15"/>
              </w:rPr>
              <w:t>Aug 2025 - Present</w:t>
            </w:r>
          </w:p>
        </w:tc>
      </w:tr>
    </w:tbl>
    <w:p>
      <w:pPr>
        <w:keepNext/>
        <w:spacing w:after="0"/>
      </w:pPr>
      <w:r>
        <w:rPr>
          <w:rFonts w:ascii="Times New Roman" w:hAnsi="Times New Roman"/>
          <w:i/>
          <w:color w:val="333333"/>
          <w:sz w:val="15"/>
        </w:rPr>
        <w:t>Research Project | Prof. Shunqiao Sun and Prof. Igal Bilik | The University of Alabama / Ben-Gurion University</w:t>
      </w:r>
    </w:p>
    <w:p>
      <w:pPr>
        <w:pStyle w:val="ListBullet"/>
        <w:spacing w:after="0"/>
        <w:ind w:left="230" w:hanging="144"/>
      </w:pPr>
      <w:r>
        <w:rPr>
          <w:rFonts w:ascii="Times New Roman" w:hAnsi="Times New Roman"/>
          <w:color w:val="111111"/>
          <w:sz w:val="15"/>
        </w:rPr>
        <w:t>Built a ROS2-based UGV perception and evaluation stack for bunker, low-light, and GNSS-degraded field runs, synchronizing camera, LiDAR, 4D radar, INS/RTK, wheel feedback, and driver-control data.</w:t>
      </w:r>
    </w:p>
    <w:p>
      <w:pPr>
        <w:pStyle w:val="ListBullet"/>
        <w:spacing w:after="0"/>
        <w:ind w:left="230" w:hanging="144"/>
      </w:pPr>
      <w:r>
        <w:rPr>
          <w:rFonts w:ascii="Times New Roman" w:hAnsi="Times New Roman"/>
          <w:color w:val="111111"/>
          <w:sz w:val="15"/>
        </w:rPr>
        <w:t>Developed real-time LiDAR localization and soft-anchor mapping workflows; reduced a 459.5M-point raw scan stream to a 2.13M-point map (99.5% reduction) and cleaned a 24.29M-point map to 13.56M points.</w:t>
      </w:r>
    </w:p>
    <w:p>
      <w:pPr>
        <w:pStyle w:val="ListBullet"/>
        <w:spacing w:after="0"/>
        <w:ind w:left="230" w:hanging="144"/>
      </w:pPr>
      <w:r>
        <w:rPr>
          <w:rFonts w:ascii="Times New Roman" w:hAnsi="Times New Roman"/>
          <w:color w:val="111111"/>
          <w:sz w:val="15"/>
        </w:rPr>
        <w:t>Improved radar localization through IMU-aided fusion and sensor-specific parameter tuning, using INS/RTK alignment as the reference for trajectory evaluation and failure-case analysis.</w:t>
      </w:r>
    </w:p>
    <w:p>
      <w:pPr>
        <w:pStyle w:val="ListBullet"/>
        <w:spacing w:after="0"/>
        <w:ind w:left="230" w:hanging="144"/>
      </w:pPr>
      <w:r>
        <w:rPr>
          <w:rFonts w:ascii="Times New Roman" w:hAnsi="Times New Roman"/>
          <w:color w:val="111111"/>
          <w:sz w:val="15"/>
        </w:rPr>
        <w:t>Evaluated radar, visual, and LiDAR-inertial localization in a low-light, building-occluded sequence; radar odometry reached 7.16 m ATE RMSE versus 35.47 m for visual SLAM and 35.57 m for a LiDAR-inertial baseline.</w:t>
      </w:r>
    </w:p>
    <w:p>
      <w:pPr>
        <w:pStyle w:val="ListBullet"/>
        <w:spacing w:after="0"/>
        <w:ind w:left="230" w:hanging="144"/>
      </w:pPr>
      <w:r>
        <w:rPr>
          <w:rFonts w:ascii="Times New Roman" w:hAnsi="Times New Roman"/>
          <w:color w:val="111111"/>
          <w:sz w:val="15"/>
        </w:rPr>
        <w:t>Prepared camera-view, radar/LiDAR point-cloud, and top-view trajectory diagnostics to compare sensor behavior across bunker turns, occluded areas, and low-visibility segments.</w:t>
      </w:r>
    </w:p>
    <w:tbl>
      <w:tblPr>
        <w:tblW w:type="dxa" w:w="10800"/>
        <w:tblLayout w:type="fixed"/>
        <w:tblLook w:firstColumn="1" w:firstRow="1" w:lastColumn="0" w:lastRow="0" w:noHBand="0" w:noVBand="1" w:val="04A0"/>
      </w:tblPr>
      <w:tblGrid>
        <w:gridCol w:w="8640"/>
        <w:gridCol w:w="2160"/>
      </w:tblGrid>
      <w:tr>
        <w:tc>
          <w:tcPr>
            <w:tcW w:type="dxa" w:w="864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before="0" w:after="0"/>
            </w:pPr>
            <w:r>
              <w:rPr>
                <w:rFonts w:ascii="Times New Roman" w:hAnsi="Times New Roman"/>
                <w:b/>
                <w:color w:val="111111"/>
                <w:sz w:val="16"/>
              </w:rPr>
              <w:t>Learning-Based 4D Radar Odometry and Camera Fusion</w:t>
            </w:r>
          </w:p>
        </w:tc>
        <w:tc>
          <w:tcPr>
            <w:tcW w:type="dxa" w:w="216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rFonts w:ascii="Times New Roman" w:hAnsi="Times New Roman"/>
                <w:color w:val="111111"/>
                <w:sz w:val="15"/>
              </w:rPr>
              <w:t>Jan 2026 - Present</w:t>
            </w:r>
          </w:p>
        </w:tc>
      </w:tr>
    </w:tbl>
    <w:p>
      <w:pPr>
        <w:keepNext/>
        <w:spacing w:after="0"/>
      </w:pPr>
      <w:r>
        <w:rPr>
          <w:rFonts w:ascii="Times New Roman" w:hAnsi="Times New Roman"/>
          <w:i/>
          <w:color w:val="333333"/>
          <w:sz w:val="15"/>
        </w:rPr>
        <w:t>Research Project | Prof. Shunqiao Sun | The University of Alabama</w:t>
      </w:r>
    </w:p>
    <w:p>
      <w:pPr>
        <w:pStyle w:val="ListBullet"/>
        <w:spacing w:after="0"/>
        <w:ind w:left="230" w:hanging="144"/>
      </w:pPr>
      <w:r>
        <w:rPr>
          <w:rFonts w:ascii="Times New Roman" w:hAnsi="Times New Roman"/>
          <w:color w:val="111111"/>
          <w:sz w:val="15"/>
        </w:rPr>
        <w:t>Extended a learning-based 4D radar odometry pipeline for sparse radar point clouds, adding range/intensity pre-filtering and point-multiplication experiments to improve usable geometric structure before pose estimation.</w:t>
      </w:r>
    </w:p>
    <w:p>
      <w:pPr>
        <w:pStyle w:val="ListBullet"/>
        <w:spacing w:after="0"/>
        <w:ind w:left="230" w:hanging="144"/>
      </w:pPr>
      <w:r>
        <w:rPr>
          <w:rFonts w:ascii="Times New Roman" w:hAnsi="Times New Roman"/>
          <w:color w:val="111111"/>
          <w:sz w:val="15"/>
        </w:rPr>
        <w:t>Built two-stage odometry experiments that first stabilize radar pose outputs and then evaluate camera-pose fusion, including an MLP-based module for combining camera estimates with radar trajectories.</w:t>
      </w:r>
    </w:p>
    <w:p>
      <w:pPr>
        <w:pStyle w:val="ListBullet"/>
        <w:spacing w:after="0"/>
        <w:ind w:left="230" w:hanging="144"/>
      </w:pPr>
      <w:r>
        <w:rPr>
          <w:rFonts w:ascii="Times New Roman" w:hAnsi="Times New Roman"/>
          <w:color w:val="111111"/>
          <w:sz w:val="15"/>
        </w:rPr>
        <w:t>Added lightweight pseudo-correspondence supervision while preserving the original pose backbone; introduced 84.1K trainable parameters, about 0.53% of the full model, for correspondence and offset learning.</w:t>
      </w:r>
    </w:p>
    <w:p>
      <w:pPr>
        <w:pStyle w:val="ListBullet"/>
        <w:spacing w:after="0"/>
        <w:ind w:left="230" w:hanging="144"/>
      </w:pPr>
      <w:r>
        <w:rPr>
          <w:rFonts w:ascii="Times New Roman" w:hAnsi="Times New Roman"/>
          <w:color w:val="111111"/>
          <w:sz w:val="15"/>
        </w:rPr>
        <w:t>Reduced correspondence loss by 36.0%, match/static losses by about 36.8%, and offset error from 0.409 m to 0.363 m in frozen-backbone ablations; guarded refinement reduced translation RMSE from 0.752 m to 0.311 m.</w:t>
      </w:r>
    </w:p>
    <w:p>
      <w:pPr>
        <w:pStyle w:val="ListBullet"/>
        <w:spacing w:after="0"/>
        <w:ind w:left="230" w:hanging="144"/>
      </w:pPr>
      <w:r>
        <w:rPr>
          <w:rFonts w:ascii="Times New Roman" w:hAnsi="Times New Roman"/>
          <w:color w:val="111111"/>
          <w:sz w:val="15"/>
        </w:rPr>
        <w:t>Maintained frozen-backbone and guarded-refinement ablations to separate correspondence-learning gains from pose-backbone changes, keeping trajectory comparisons consistent across variants.</w:t>
      </w:r>
    </w:p>
    <w:tbl>
      <w:tblPr>
        <w:tblW w:type="dxa" w:w="10800"/>
        <w:tblLayout w:type="fixed"/>
        <w:tblLook w:firstColumn="1" w:firstRow="1" w:lastColumn="0" w:lastRow="0" w:noHBand="0" w:noVBand="1" w:val="04A0"/>
      </w:tblPr>
      <w:tblGrid>
        <w:gridCol w:w="8640"/>
        <w:gridCol w:w="2160"/>
      </w:tblGrid>
      <w:tr>
        <w:tc>
          <w:tcPr>
            <w:tcW w:type="dxa" w:w="864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before="0" w:after="0"/>
            </w:pPr>
            <w:r>
              <w:rPr>
                <w:rFonts w:ascii="Times New Roman" w:hAnsi="Times New Roman"/>
                <w:b/>
                <w:color w:val="111111"/>
                <w:sz w:val="16"/>
              </w:rPr>
              <w:t>NXP Radar DDM Decoding</w:t>
            </w:r>
          </w:p>
        </w:tc>
        <w:tc>
          <w:tcPr>
            <w:tcW w:type="dxa" w:w="216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rFonts w:ascii="Times New Roman" w:hAnsi="Times New Roman"/>
                <w:color w:val="111111"/>
                <w:sz w:val="15"/>
              </w:rPr>
              <w:t>Aug 2025 - Present</w:t>
            </w:r>
          </w:p>
        </w:tc>
      </w:tr>
    </w:tbl>
    <w:p>
      <w:pPr>
        <w:keepNext/>
        <w:spacing w:after="0"/>
      </w:pPr>
      <w:r>
        <w:rPr>
          <w:rFonts w:ascii="Times New Roman" w:hAnsi="Times New Roman"/>
          <w:i/>
          <w:color w:val="333333"/>
          <w:sz w:val="15"/>
        </w:rPr>
        <w:t>NXP collaborative radar signal-processing project</w:t>
      </w:r>
    </w:p>
    <w:p>
      <w:pPr>
        <w:pStyle w:val="ListBullet"/>
        <w:spacing w:after="0"/>
        <w:ind w:left="230" w:hanging="144"/>
      </w:pPr>
      <w:r>
        <w:rPr>
          <w:rFonts w:ascii="Times New Roman" w:hAnsi="Times New Roman"/>
          <w:color w:val="111111"/>
          <w:sz w:val="15"/>
        </w:rPr>
        <w:t>Developed a MATLAB SFW/DDM simulation and decoding pipeline for 12-TX/12-RX, 1024-sample, 512-chirp radar data with multi-TX de-spreading and range-Doppler fusion.</w:t>
      </w:r>
    </w:p>
    <w:p>
      <w:pPr>
        <w:pStyle w:val="ListBullet"/>
        <w:spacing w:after="0"/>
        <w:ind w:left="230" w:hanging="144"/>
      </w:pPr>
      <w:r>
        <w:rPr>
          <w:rFonts w:ascii="Times New Roman" w:hAnsi="Times New Roman"/>
          <w:color w:val="111111"/>
          <w:sz w:val="15"/>
        </w:rPr>
        <w:t>Implemented CA-CFAR and DBSCAN-based target extraction to separate DDM ghost artifacts, SFW Doppler offsets, and velocity-induced Doppler smearing in staged validation scenarios.</w:t>
      </w:r>
    </w:p>
    <w:p>
      <w:pPr>
        <w:pStyle w:val="ListBullet"/>
        <w:spacing w:after="0"/>
        <w:ind w:left="230" w:hanging="144"/>
      </w:pPr>
      <w:r>
        <w:rPr>
          <w:rFonts w:ascii="Times New Roman" w:hAnsi="Times New Roman"/>
          <w:color w:val="111111"/>
          <w:sz w:val="15"/>
        </w:rPr>
        <w:t>Designed velocity-search and quadratic phase-correction desmearing, validating a 320-candidate search on close targets with 2 m range separation and 40 m/s velocity difference.</w:t>
      </w:r>
    </w:p>
    <w:p>
      <w:pPr>
        <w:keepNext/>
        <w:spacing w:before="60" w:after="20"/>
        <w:pBdr>
          <w:bottom w:val="single" w:sz="5" w:space="1" w:color="7A8CA3"/>
        </w:pBdr>
      </w:pPr>
      <w:r>
        <w:rPr>
          <w:rFonts w:ascii="Times New Roman" w:hAnsi="Times New Roman"/>
          <w:b/>
          <w:color w:val="1F4D78"/>
          <w:sz w:val="20"/>
        </w:rPr>
        <w:t>PRIOR RESEARCH EXPERIENCE</w:t>
      </w:r>
    </w:p>
    <w:tbl>
      <w:tblPr>
        <w:tblW w:type="dxa" w:w="10800"/>
        <w:tblLayout w:type="fixed"/>
        <w:tblLook w:firstColumn="1" w:firstRow="1" w:lastColumn="0" w:lastRow="0" w:noHBand="0" w:noVBand="1" w:val="04A0"/>
      </w:tblPr>
      <w:tblGrid>
        <w:gridCol w:w="8640"/>
        <w:gridCol w:w="2160"/>
      </w:tblGrid>
      <w:tr>
        <w:tc>
          <w:tcPr>
            <w:tcW w:type="dxa" w:w="864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before="0" w:after="0"/>
            </w:pPr>
            <w:r>
              <w:rPr>
                <w:rFonts w:ascii="Times New Roman" w:hAnsi="Times New Roman"/>
                <w:b/>
                <w:color w:val="111111"/>
                <w:sz w:val="16"/>
              </w:rPr>
              <w:t>MVMD-Based CSP for EEG Signal Classification</w:t>
            </w:r>
          </w:p>
        </w:tc>
        <w:tc>
          <w:tcPr>
            <w:tcW w:type="dxa" w:w="216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rFonts w:ascii="Times New Roman" w:hAnsi="Times New Roman"/>
                <w:color w:val="111111"/>
                <w:sz w:val="15"/>
              </w:rPr>
              <w:t>Jun 2024 - Feb 2025</w:t>
            </w:r>
          </w:p>
        </w:tc>
      </w:tr>
    </w:tbl>
    <w:p>
      <w:pPr>
        <w:keepNext/>
        <w:spacing w:after="0"/>
      </w:pPr>
      <w:r>
        <w:rPr>
          <w:rFonts w:ascii="Times New Roman" w:hAnsi="Times New Roman"/>
          <w:i/>
          <w:color w:val="333333"/>
          <w:sz w:val="15"/>
        </w:rPr>
        <w:t>Research Assistant, supervised by Prof. Aimin Jiang | Hohai University</w:t>
      </w:r>
    </w:p>
    <w:p>
      <w:pPr>
        <w:pStyle w:val="ListBullet"/>
        <w:spacing w:after="0"/>
        <w:ind w:left="230" w:hanging="144"/>
      </w:pPr>
      <w:r>
        <w:rPr>
          <w:rFonts w:ascii="Times New Roman" w:hAnsi="Times New Roman"/>
          <w:color w:val="111111"/>
          <w:sz w:val="15"/>
        </w:rPr>
        <w:t>Applied MVMD and CSP/ADMM-based filters across 1,000+ EEG datasets, improving classification accuracy by about 10% while reducing computational complexity by about 20%.</w:t>
      </w:r>
    </w:p>
    <w:p>
      <w:pPr>
        <w:pStyle w:val="ListBullet"/>
        <w:spacing w:after="0"/>
        <w:ind w:left="230" w:hanging="144"/>
      </w:pPr>
      <w:r>
        <w:rPr>
          <w:rFonts w:ascii="Times New Roman" w:hAnsi="Times New Roman"/>
          <w:color w:val="111111"/>
          <w:sz w:val="15"/>
        </w:rPr>
        <w:t>Compared MLP, LDA, and SVM classifiers to analyze inter- and intra-subject variability and validate feature robustness across EEG classification settings.</w:t>
      </w:r>
    </w:p>
    <w:tbl>
      <w:tblPr>
        <w:tblW w:type="dxa" w:w="10800"/>
        <w:tblLayout w:type="fixed"/>
        <w:tblLook w:firstColumn="1" w:firstRow="1" w:lastColumn="0" w:lastRow="0" w:noHBand="0" w:noVBand="1" w:val="04A0"/>
      </w:tblPr>
      <w:tblGrid>
        <w:gridCol w:w="8640"/>
        <w:gridCol w:w="2160"/>
      </w:tblGrid>
      <w:tr>
        <w:tc>
          <w:tcPr>
            <w:tcW w:type="dxa" w:w="864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before="0" w:after="0"/>
            </w:pPr>
            <w:r>
              <w:rPr>
                <w:rFonts w:ascii="Times New Roman" w:hAnsi="Times New Roman"/>
                <w:b/>
                <w:color w:val="111111"/>
                <w:sz w:val="16"/>
              </w:rPr>
              <w:t>NGSO Satellite In-line Interference Analysis</w:t>
            </w:r>
          </w:p>
        </w:tc>
        <w:tc>
          <w:tcPr>
            <w:tcW w:type="dxa" w:w="216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rFonts w:ascii="Times New Roman" w:hAnsi="Times New Roman"/>
                <w:color w:val="111111"/>
                <w:sz w:val="15"/>
              </w:rPr>
              <w:t>Aug 2023 - Jan 2024</w:t>
            </w:r>
          </w:p>
        </w:tc>
      </w:tr>
    </w:tbl>
    <w:p>
      <w:pPr>
        <w:keepNext/>
        <w:spacing w:after="0"/>
      </w:pPr>
      <w:r>
        <w:rPr>
          <w:rFonts w:ascii="Times New Roman" w:hAnsi="Times New Roman"/>
          <w:i/>
          <w:color w:val="333333"/>
          <w:sz w:val="15"/>
        </w:rPr>
        <w:t>Research Assistant, supervised by Prof. Jon Peha and Prof. Marvin Sirbu | Carnegie Mellon University</w:t>
      </w:r>
    </w:p>
    <w:p>
      <w:pPr>
        <w:pStyle w:val="ListBullet"/>
        <w:spacing w:after="0"/>
        <w:ind w:left="230" w:hanging="144"/>
      </w:pPr>
      <w:r>
        <w:rPr>
          <w:rFonts w:ascii="Times New Roman" w:hAnsi="Times New Roman"/>
          <w:color w:val="111111"/>
          <w:sz w:val="15"/>
        </w:rPr>
        <w:t>Modeled satellite-ground communication links with TLE data in MATLAB and Python, processing million-scale datasets and reducing estimated interference probabilities by 30%.</w:t>
      </w:r>
    </w:p>
    <w:p>
      <w:pPr>
        <w:pStyle w:val="ListBullet"/>
        <w:spacing w:after="0"/>
        <w:ind w:left="230" w:hanging="144"/>
      </w:pPr>
      <w:r>
        <w:rPr>
          <w:rFonts w:ascii="Times New Roman" w:hAnsi="Times New Roman"/>
          <w:color w:val="111111"/>
          <w:sz w:val="15"/>
        </w:rPr>
        <w:t>Designed an interference-avoidance simulation workflow that reduced computational cost by about 60% while preserving scenario-level link and geometry analysis.</w:t>
      </w:r>
    </w:p>
    <w:p>
      <w:pPr>
        <w:keepNext/>
        <w:spacing w:before="60" w:after="20"/>
        <w:pBdr>
          <w:bottom w:val="single" w:sz="5" w:space="1" w:color="7A8CA3"/>
        </w:pBdr>
      </w:pPr>
      <w:r>
        <w:rPr>
          <w:rFonts w:ascii="Times New Roman" w:hAnsi="Times New Roman"/>
          <w:b/>
          <w:color w:val="1F4D78"/>
          <w:sz w:val="20"/>
        </w:rPr>
        <w:t>WORK EXPERIENCE</w:t>
      </w:r>
    </w:p>
    <w:tbl>
      <w:tblPr>
        <w:tblW w:type="dxa" w:w="10800"/>
        <w:tblLayout w:type="fixed"/>
        <w:tblLook w:firstColumn="1" w:firstRow="1" w:lastColumn="0" w:lastRow="0" w:noHBand="0" w:noVBand="1" w:val="04A0"/>
      </w:tblPr>
      <w:tblGrid>
        <w:gridCol w:w="8640"/>
        <w:gridCol w:w="2160"/>
      </w:tblGrid>
      <w:tr>
        <w:tc>
          <w:tcPr>
            <w:tcW w:type="dxa" w:w="864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before="0" w:after="0"/>
            </w:pPr>
            <w:r>
              <w:rPr>
                <w:rFonts w:ascii="Times New Roman" w:hAnsi="Times New Roman"/>
                <w:b/>
                <w:color w:val="111111"/>
                <w:sz w:val="16"/>
              </w:rPr>
              <w:t>CMU Center for Technology Transfer and Enterprise Creation</w:t>
            </w:r>
          </w:p>
        </w:tc>
        <w:tc>
          <w:tcPr>
            <w:tcW w:type="dxa" w:w="216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rFonts w:ascii="Times New Roman" w:hAnsi="Times New Roman"/>
                <w:color w:val="111111"/>
                <w:sz w:val="15"/>
              </w:rPr>
              <w:t>May 2023 - Aug 2023</w:t>
            </w:r>
          </w:p>
        </w:tc>
      </w:tr>
    </w:tbl>
    <w:p>
      <w:pPr>
        <w:keepNext/>
        <w:spacing w:after="0"/>
      </w:pPr>
      <w:r>
        <w:rPr>
          <w:rFonts w:ascii="Times New Roman" w:hAnsi="Times New Roman"/>
          <w:i/>
          <w:color w:val="333333"/>
          <w:sz w:val="15"/>
        </w:rPr>
        <w:t>Enterprise Creation Intern | Pittsburgh, PA</w:t>
      </w:r>
    </w:p>
    <w:p>
      <w:pPr>
        <w:pStyle w:val="ListBullet"/>
        <w:spacing w:after="0"/>
        <w:ind w:left="230" w:hanging="144"/>
      </w:pPr>
      <w:r>
        <w:rPr>
          <w:rFonts w:ascii="Times New Roman" w:hAnsi="Times New Roman"/>
          <w:color w:val="111111"/>
          <w:sz w:val="15"/>
        </w:rPr>
        <w:t>Conducted customer discovery and market analysis for CMU Bio-robotic Lab and Phlux, connecting technical use cases with commercialization evidence.</w:t>
      </w:r>
    </w:p>
    <w:p>
      <w:pPr>
        <w:pStyle w:val="ListBullet"/>
        <w:spacing w:after="0"/>
        <w:ind w:left="230" w:hanging="144"/>
      </w:pPr>
      <w:r>
        <w:rPr>
          <w:rFonts w:ascii="Times New Roman" w:hAnsi="Times New Roman"/>
          <w:color w:val="111111"/>
          <w:sz w:val="15"/>
        </w:rPr>
        <w:t>Built customer profiles, screened high-potential leads, and synthesized interview findings to support venture exploration and technology-transfer decisions.</w:t>
      </w:r>
    </w:p>
    <w:tbl>
      <w:tblPr>
        <w:tblW w:type="dxa" w:w="10800"/>
        <w:tblLayout w:type="fixed"/>
        <w:tblLook w:firstColumn="1" w:firstRow="1" w:lastColumn="0" w:lastRow="0" w:noHBand="0" w:noVBand="1" w:val="04A0"/>
      </w:tblPr>
      <w:tblGrid>
        <w:gridCol w:w="8640"/>
        <w:gridCol w:w="2160"/>
      </w:tblGrid>
      <w:tr>
        <w:tc>
          <w:tcPr>
            <w:tcW w:type="dxa" w:w="864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before="0" w:after="0"/>
            </w:pPr>
            <w:r>
              <w:rPr>
                <w:rFonts w:ascii="Times New Roman" w:hAnsi="Times New Roman"/>
                <w:b/>
                <w:color w:val="111111"/>
                <w:sz w:val="16"/>
              </w:rPr>
              <w:t>Signify (China) Investment Co., Ltd.</w:t>
            </w:r>
          </w:p>
        </w:tc>
        <w:tc>
          <w:tcPr>
            <w:tcW w:type="dxa" w:w="216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rFonts w:ascii="Times New Roman" w:hAnsi="Times New Roman"/>
                <w:color w:val="111111"/>
                <w:sz w:val="15"/>
              </w:rPr>
              <w:t>Sep 2022 - Dec 2022</w:t>
            </w:r>
          </w:p>
        </w:tc>
      </w:tr>
    </w:tbl>
    <w:p>
      <w:pPr>
        <w:keepNext/>
        <w:spacing w:after="0"/>
      </w:pPr>
      <w:r>
        <w:rPr>
          <w:rFonts w:ascii="Times New Roman" w:hAnsi="Times New Roman"/>
          <w:i/>
          <w:color w:val="333333"/>
          <w:sz w:val="15"/>
        </w:rPr>
        <w:t>Hardware Engineer Intern | Shanghai, China</w:t>
      </w:r>
    </w:p>
    <w:p>
      <w:pPr>
        <w:pStyle w:val="ListBullet"/>
        <w:spacing w:after="0"/>
        <w:ind w:left="230" w:hanging="144"/>
      </w:pPr>
      <w:r>
        <w:rPr>
          <w:rFonts w:ascii="Times New Roman" w:hAnsi="Times New Roman"/>
          <w:color w:val="111111"/>
          <w:sz w:val="15"/>
        </w:rPr>
        <w:t>Optimized power-circuit designs with active EMI filters and high-performance capacitors, reducing power consumption by 30%.</w:t>
      </w:r>
    </w:p>
    <w:p>
      <w:pPr>
        <w:pStyle w:val="ListBullet"/>
        <w:spacing w:after="0"/>
        <w:ind w:left="230" w:hanging="144"/>
      </w:pPr>
      <w:r>
        <w:rPr>
          <w:rFonts w:ascii="Times New Roman" w:hAnsi="Times New Roman"/>
          <w:color w:val="111111"/>
          <w:sz w:val="15"/>
        </w:rPr>
        <w:t>Debugged IoT lamp control logic and testing workflows, supporting hardware validation and embedded-device troubleshooting.</w:t>
      </w:r>
    </w:p>
    <w:p>
      <w:pPr>
        <w:keepNext/>
        <w:spacing w:before="60" w:after="20"/>
        <w:pBdr>
          <w:bottom w:val="single" w:sz="5" w:space="1" w:color="7A8CA3"/>
        </w:pBdr>
      </w:pPr>
      <w:r>
        <w:rPr>
          <w:rFonts w:ascii="Times New Roman" w:hAnsi="Times New Roman"/>
          <w:b/>
          <w:color w:val="1F4D78"/>
          <w:sz w:val="20"/>
        </w:rPr>
        <w:t>TECHNICAL SKILLS</w:t>
      </w:r>
    </w:p>
    <w:p>
      <w:pPr>
        <w:spacing w:after="0"/>
      </w:pPr>
      <w:r>
        <w:rPr>
          <w:rFonts w:ascii="Times New Roman" w:hAnsi="Times New Roman"/>
          <w:color w:val="111111"/>
          <w:sz w:val="15"/>
        </w:rPr>
        <w:t>Python, MATLAB, C/C++, ROS/ROS2, Linux, PCL, OpenCV, PyTorch, NumPy.</w:t>
      </w:r>
    </w:p>
    <w:sectPr w:rsidR="00FC693F" w:rsidRPr="0006063C" w:rsidSect="00034616">
      <w:pgSz w:w="12240" w:h="15840"/>
      <w:pgMar w:top="475" w:right="720" w:bottom="403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/>
      <w:sz w:val="15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