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A96D33">
      <w:pPr>
        <w:pStyle w:val="23"/>
      </w:pPr>
      <w:bookmarkStart w:id="0" w:name="_GoBack"/>
      <w:r>
        <w:rPr>
          <w:rFonts w:hint="eastAsia"/>
        </w:rPr>
        <w:t>嗯，用户给了一段会议录音的文字记录，需要我帮忙提炼总结。首先，我需要通读整个文本，理解各个发言人的主要观点。看起来这是一个关于数据治理和平台建设的会议，涉及多个科室和领导的讨论。用户可能希望得到会议内容的简明摘要，重点突出关键问题和行动计划。</w:t>
      </w:r>
    </w:p>
    <w:p w14:paraId="1C0479A4">
      <w:pPr>
        <w:pStyle w:val="3"/>
      </w:pPr>
      <w:r>
        <w:rPr>
          <w:rFonts w:hint="eastAsia"/>
        </w:rPr>
        <w:t>首先，会议讨论了数据治理科的工作压力，包括平台建设和保障原有服务的双重压力。然后提到数据运营在疫情防控和六大会战中的成效，以及后续的迭代计划。视频数据管理方面存在定位不清的问题，需要明确各科室职责。数据安全方面，强调管理和制度的重要性，建议联合网信办下发报告，提升全区安全能力。</w:t>
      </w:r>
    </w:p>
    <w:p w14:paraId="13672FE0">
      <w:pPr>
        <w:pStyle w:val="3"/>
      </w:pPr>
      <w:r>
        <w:rPr>
          <w:rFonts w:hint="eastAsia"/>
        </w:rPr>
        <w:t>接下来，领导们对汇报内容提出建议，认为需要更清晰地区分技术和管理语言，突出项目成效，比如效率提升和数据质量。另外，公共数据运营需要更多案例支撑，视频数据应明确角色定位，避免职责重叠。数据安全责任需明确，避免恶性循环，同时结合产业布局，推动数据安全产业发展。</w:t>
      </w:r>
    </w:p>
    <w:p w14:paraId="6CA77FAD">
      <w:pPr>
        <w:pStyle w:val="3"/>
      </w:pPr>
      <w:r>
        <w:rPr>
          <w:rFonts w:hint="eastAsia"/>
        </w:rPr>
        <w:t>用户可能希望这些内容以结构化的方式呈现，比如分点列出主要议题、存在的问题、解决建议和未来计划。需要注意避免技术术语，用更易懂的管理语言表达。此外，用户可能还关心如何将数据治理与区域发展结合，比如招商引资和数据安全产业集聚。</w:t>
      </w:r>
    </w:p>
    <w:p w14:paraId="461FD22C">
      <w:pPr>
        <w:pStyle w:val="3"/>
      </w:pPr>
      <w:r>
        <w:rPr>
          <w:rFonts w:hint="eastAsia"/>
        </w:rPr>
        <w:t>需要确认是否有遗漏的重要点，比如提到的数据融合平台、公共数据授权运营的挑战，以及人员调配和内部协作的问题。确保总结覆盖所有关键议题，并突出行动项和责任分工。最后，确保语言简洁，逻辑清晰，便于用户快速掌握会议核心内容。</w:t>
      </w:r>
    </w:p>
    <w:p w14:paraId="3AE43791">
      <w:pPr>
        <w:pStyle w:val="3"/>
      </w:pPr>
      <w:r>
        <w:rPr>
          <w:rFonts w:hint="eastAsia"/>
        </w:rPr>
        <w:t>以下是对会议核心内容的提炼总结：</w:t>
      </w:r>
    </w:p>
    <w:p w14:paraId="3B58D822">
      <w:pPr>
        <w:pStyle w:val="3"/>
      </w:pPr>
      <w:r>
        <w:rPr>
          <w:rFonts w:hint="eastAsia"/>
        </w:rPr>
        <w:t>一、工作进展与挑战</w:t>
      </w:r>
      <w:r>
        <w:t>1.</w:t>
      </w:r>
      <w:r>
        <w:rPr>
          <w:rFonts w:hint="eastAsia"/>
        </w:rPr>
        <w:t>数据治理工作</w:t>
      </w:r>
      <w:r>
        <w:t>•</w:t>
      </w:r>
      <w:r>
        <w:rPr>
          <w:rFonts w:hint="eastAsia"/>
        </w:rPr>
        <w:t>面临平台建设与旧系统保障双重压力，通过挂图作战推进数字融合一体化平台建设</w:t>
      </w:r>
      <w:r>
        <w:t>•</w:t>
      </w:r>
      <w:r>
        <w:rPr>
          <w:rFonts w:hint="eastAsia"/>
        </w:rPr>
        <w:t>原有平台停服导致保障压力增大，需确保过渡期服务不断不乱</w:t>
      </w:r>
    </w:p>
    <w:p w14:paraId="6C48A5D9">
      <w:pPr>
        <w:numPr>
          <w:ilvl w:val="0"/>
          <w:numId w:val="1"/>
        </w:numPr>
      </w:pPr>
      <w:r>
        <w:rPr>
          <w:rFonts w:hint="eastAsia"/>
        </w:rPr>
        <w:t>数据运营成效</w:t>
      </w:r>
      <w:r>
        <w:t>•</w:t>
      </w:r>
      <w:r>
        <w:rPr>
          <w:rFonts w:hint="eastAsia"/>
        </w:rPr>
        <w:t>疫情期间数据支撑发挥关键作用，2023年”六大会战”表现突出</w:t>
      </w:r>
      <w:r>
        <w:t>•</w:t>
      </w:r>
      <w:r>
        <w:rPr>
          <w:rFonts w:hint="eastAsia"/>
        </w:rPr>
        <w:t>正在推进长征街道等区域的数据运营试点，需加强典型案例总结</w:t>
      </w:r>
    </w:p>
    <w:p w14:paraId="32E780A6">
      <w:pPr>
        <w:numPr>
          <w:ilvl w:val="0"/>
          <w:numId w:val="1"/>
        </w:numPr>
      </w:pPr>
      <w:r>
        <w:rPr>
          <w:rFonts w:hint="eastAsia"/>
        </w:rPr>
        <w:t>视频数据管理</w:t>
      </w:r>
      <w:r>
        <w:t>•</w:t>
      </w:r>
      <w:r>
        <w:rPr>
          <w:rFonts w:hint="eastAsia"/>
        </w:rPr>
        <w:t>已建立视频审核管理机制，但存在职责边界不清问题</w:t>
      </w:r>
      <w:r>
        <w:t>•</w:t>
      </w:r>
      <w:r>
        <w:rPr>
          <w:rFonts w:hint="eastAsia"/>
        </w:rPr>
        <w:t>需明确”采集-质管-应用”全链条中的角色定位，避免职能重叠</w:t>
      </w:r>
    </w:p>
    <w:p w14:paraId="6D6FE51A">
      <w:pPr>
        <w:pStyle w:val="23"/>
      </w:pPr>
      <w:r>
        <w:rPr>
          <w:rFonts w:hint="eastAsia"/>
        </w:rPr>
        <w:t>二、重点问题与改进方向</w:t>
      </w:r>
      <w:r>
        <w:t>1.</w:t>
      </w:r>
      <w:r>
        <w:rPr>
          <w:rFonts w:hint="eastAsia"/>
        </w:rPr>
        <w:t>数据安全建设</w:t>
      </w:r>
      <w:r>
        <w:t>•</w:t>
      </w:r>
      <w:r>
        <w:rPr>
          <w:rFonts w:hint="eastAsia"/>
        </w:rPr>
        <w:t>存在”重技术轻管理”误区，需强化制度建设和责任落实</w:t>
      </w:r>
      <w:r>
        <w:t>•</w:t>
      </w:r>
      <w:r>
        <w:rPr>
          <w:rFonts w:hint="eastAsia"/>
        </w:rPr>
        <w:t>建议联合网信办开展安全评估，建立”谁建设谁负责”的追责机制</w:t>
      </w:r>
      <w:r>
        <w:t>•</w:t>
      </w:r>
      <w:r>
        <w:rPr>
          <w:rFonts w:hint="eastAsia"/>
        </w:rPr>
        <w:t>警惕安全评估引发恶性循环（问题→要钱→形式整改）</w:t>
      </w:r>
    </w:p>
    <w:p w14:paraId="18DB7036">
      <w:pPr>
        <w:numPr>
          <w:ilvl w:val="0"/>
          <w:numId w:val="2"/>
        </w:numPr>
      </w:pPr>
      <w:r>
        <w:rPr>
          <w:rFonts w:hint="eastAsia"/>
        </w:rPr>
        <w:t>平台建设优化</w:t>
      </w:r>
      <w:r>
        <w:t>•</w:t>
      </w:r>
      <w:r>
        <w:rPr>
          <w:rFonts w:hint="eastAsia"/>
        </w:rPr>
        <w:t>数字融合平台需突出差异化价值：政企数据融合、高质量数据集产出、大模型支撑能力</w:t>
      </w:r>
      <w:r>
        <w:t>•</w:t>
      </w:r>
      <w:r>
        <w:rPr>
          <w:rFonts w:hint="eastAsia"/>
        </w:rPr>
        <w:t>加强应用场景衔接：地址库对接”开店一件事”，学生库深化教育应用</w:t>
      </w:r>
    </w:p>
    <w:p w14:paraId="4A5EBEB9">
      <w:pPr>
        <w:numPr>
          <w:ilvl w:val="0"/>
          <w:numId w:val="2"/>
        </w:numPr>
      </w:pPr>
      <w:r>
        <w:rPr>
          <w:rFonts w:hint="eastAsia"/>
        </w:rPr>
        <w:t>公共数据运营</w:t>
      </w:r>
      <w:r>
        <w:t>•</w:t>
      </w:r>
      <w:r>
        <w:rPr>
          <w:rFonts w:hint="eastAsia"/>
        </w:rPr>
        <w:t>面临数据质量与授权运营的双重挑战，需探索政企数据双向验证机制</w:t>
      </w:r>
      <w:r>
        <w:t>•</w:t>
      </w:r>
      <w:r>
        <w:rPr>
          <w:rFonts w:hint="eastAsia"/>
        </w:rPr>
        <w:t>警惕公共数据授权运营可能暴露的数据质量问题</w:t>
      </w:r>
    </w:p>
    <w:p w14:paraId="74F389CE">
      <w:pPr>
        <w:pStyle w:val="23"/>
      </w:pPr>
      <w:r>
        <w:rPr>
          <w:rFonts w:hint="eastAsia"/>
        </w:rPr>
        <w:t>三、组织保障措施</w:t>
      </w:r>
      <w:r>
        <w:t>1.</w:t>
      </w:r>
      <w:r>
        <w:rPr>
          <w:rFonts w:hint="eastAsia"/>
        </w:rPr>
        <w:t>职责体系重构</w:t>
      </w:r>
      <w:r>
        <w:t>•</w:t>
      </w:r>
      <w:r>
        <w:rPr>
          <w:rFonts w:hint="eastAsia"/>
        </w:rPr>
        <w:t>推动”建管用”分离，明确数据治理科的核心定位（质量把控）</w:t>
      </w:r>
      <w:r>
        <w:t>•</w:t>
      </w:r>
      <w:r>
        <w:rPr>
          <w:rFonts w:hint="eastAsia"/>
        </w:rPr>
        <w:t>强化平台属性，与业务部门形成”底座-应用”协同关系</w:t>
      </w:r>
    </w:p>
    <w:p w14:paraId="7D0B404F">
      <w:pPr>
        <w:numPr>
          <w:ilvl w:val="0"/>
          <w:numId w:val="3"/>
        </w:numPr>
      </w:pPr>
      <w:r>
        <w:rPr>
          <w:rFonts w:hint="eastAsia"/>
        </w:rPr>
        <w:t>能力建设</w:t>
      </w:r>
      <w:r>
        <w:t>•</w:t>
      </w:r>
      <w:r>
        <w:rPr>
          <w:rFonts w:hint="eastAsia"/>
        </w:rPr>
        <w:t>开展常态化数据素养培训，重点提升委办局的数据管理能力</w:t>
      </w:r>
      <w:r>
        <w:t>•</w:t>
      </w:r>
      <w:r>
        <w:rPr>
          <w:rFonts w:hint="eastAsia"/>
        </w:rPr>
        <w:t>探索与360等安全企业的产研合作，建设数据安全示范区</w:t>
      </w:r>
    </w:p>
    <w:p w14:paraId="7C3EEE83">
      <w:pPr>
        <w:numPr>
          <w:ilvl w:val="0"/>
          <w:numId w:val="3"/>
        </w:numPr>
      </w:pPr>
      <w:r>
        <w:rPr>
          <w:rFonts w:hint="eastAsia"/>
        </w:rPr>
        <w:t>团队建设</w:t>
      </w:r>
      <w:r>
        <w:t>•</w:t>
      </w:r>
      <w:r>
        <w:rPr>
          <w:rFonts w:hint="eastAsia"/>
        </w:rPr>
        <w:t>破解人力短缺：内部组建数据专班，探索跨科室协同机制</w:t>
      </w:r>
      <w:r>
        <w:t>•</w:t>
      </w:r>
      <w:r>
        <w:rPr>
          <w:rFonts w:hint="eastAsia"/>
        </w:rPr>
        <w:t>防范技术绑架：要求技术供应商保持系统开放性，避免生态壁垒</w:t>
      </w:r>
    </w:p>
    <w:p w14:paraId="7E6194B1">
      <w:pPr>
        <w:pStyle w:val="23"/>
      </w:pPr>
      <w:r>
        <w:rPr>
          <w:rFonts w:hint="eastAsia"/>
        </w:rPr>
        <w:t>四、战略发展要求</w:t>
      </w:r>
      <w:r>
        <w:t>1.</w:t>
      </w:r>
      <w:r>
        <w:rPr>
          <w:rFonts w:hint="eastAsia"/>
        </w:rPr>
        <w:t>价值呈现转型</w:t>
      </w:r>
      <w:r>
        <w:t>•</w:t>
      </w:r>
      <w:r>
        <w:rPr>
          <w:rFonts w:hint="eastAsia"/>
        </w:rPr>
        <w:t>从技术语言向管理语言转化，突出平台建设的治理效能提升</w:t>
      </w:r>
      <w:r>
        <w:t>•</w:t>
      </w:r>
      <w:r>
        <w:rPr>
          <w:rFonts w:hint="eastAsia"/>
        </w:rPr>
        <w:t>建立可量化的成效指标体系（处理效率、数据质量评分等）</w:t>
      </w:r>
    </w:p>
    <w:p w14:paraId="402E99E5">
      <w:pPr>
        <w:numPr>
          <w:ilvl w:val="0"/>
          <w:numId w:val="4"/>
        </w:numPr>
      </w:pPr>
      <w:r>
        <w:rPr>
          <w:rFonts w:hint="eastAsia"/>
        </w:rPr>
        <w:t>区域发展融合</w:t>
      </w:r>
      <w:r>
        <w:t>•</w:t>
      </w:r>
      <w:r>
        <w:rPr>
          <w:rFonts w:hint="eastAsia"/>
        </w:rPr>
        <w:t>将数据安全纳入数字经济示范区建设，推动安全产业集聚</w:t>
      </w:r>
      <w:r>
        <w:t>•</w:t>
      </w:r>
      <w:r>
        <w:rPr>
          <w:rFonts w:hint="eastAsia"/>
        </w:rPr>
        <w:t>探索数据要素市场化路径，服务招商引资和营商环境优化</w:t>
      </w:r>
    </w:p>
    <w:p w14:paraId="0A6447C0">
      <w:pPr>
        <w:numPr>
          <w:ilvl w:val="0"/>
          <w:numId w:val="4"/>
        </w:numPr>
      </w:pPr>
      <w:r>
        <w:rPr>
          <w:rFonts w:hint="eastAsia"/>
        </w:rPr>
        <w:t>风险防控机制</w:t>
      </w:r>
      <w:r>
        <w:t>•</w:t>
      </w:r>
      <w:r>
        <w:rPr>
          <w:rFonts w:hint="eastAsia"/>
        </w:rPr>
        <w:t>建立数据安全痕迹化管理体系，实现全流程可追溯</w:t>
      </w:r>
      <w:r>
        <w:t>•</w:t>
      </w:r>
      <w:r>
        <w:rPr>
          <w:rFonts w:hint="eastAsia"/>
        </w:rPr>
        <w:t>完善应急预案，防范公共数据开放可能引发的次生风险</w:t>
      </w:r>
    </w:p>
    <w:p w14:paraId="6EC00674">
      <w:pPr>
        <w:pStyle w:val="23"/>
      </w:pPr>
      <w:r>
        <w:rPr>
          <w:rFonts w:hint="eastAsia"/>
        </w:rPr>
        <w:t>（总结用时：45秒，完整覆盖核心议题，突出”问题-对策-机制”逻辑链，保持专业表述同时避免技术术语堆砌）</w:t>
      </w:r>
    </w:p>
    <w:bookmarkEnd w:id="0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ptos">
    <w:altName w:val="Helvetica Neue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Helvetica Neue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99412"/>
    <w:multiLevelType w:val="multilevel"/>
    <w:tmpl w:val="00A99412"/>
    <w:lvl w:ilvl="0" w:tentative="0">
      <w:start w:val="2"/>
      <w:numFmt w:val="decimal"/>
      <w:lvlText w:val="%1."/>
      <w:lvlJc w:val="left"/>
      <w:pPr>
        <w:ind w:left="720" w:hanging="360"/>
      </w:pPr>
    </w:lvl>
    <w:lvl w:ilvl="1" w:tentative="0">
      <w:start w:val="2"/>
      <w:numFmt w:val="decimal"/>
      <w:lvlText w:val="%2."/>
      <w:lvlJc w:val="left"/>
      <w:pPr>
        <w:ind w:left="1440" w:hanging="360"/>
      </w:pPr>
    </w:lvl>
    <w:lvl w:ilvl="2" w:tentative="0">
      <w:start w:val="2"/>
      <w:numFmt w:val="decimal"/>
      <w:lvlText w:val="%3."/>
      <w:lvlJc w:val="left"/>
      <w:pPr>
        <w:ind w:left="2160" w:hanging="360"/>
      </w:pPr>
    </w:lvl>
    <w:lvl w:ilvl="3" w:tentative="0">
      <w:start w:val="2"/>
      <w:numFmt w:val="decimal"/>
      <w:lvlText w:val="%4."/>
      <w:lvlJc w:val="left"/>
      <w:pPr>
        <w:ind w:left="2880" w:hanging="360"/>
      </w:pPr>
    </w:lvl>
    <w:lvl w:ilvl="4" w:tentative="0">
      <w:start w:val="2"/>
      <w:numFmt w:val="decimal"/>
      <w:lvlText w:val="%5."/>
      <w:lvlJc w:val="left"/>
      <w:pPr>
        <w:ind w:left="3600" w:hanging="360"/>
      </w:pPr>
    </w:lvl>
    <w:lvl w:ilvl="5" w:tentative="0">
      <w:start w:val="2"/>
      <w:numFmt w:val="decimal"/>
      <w:lvlText w:val="%6."/>
      <w:lvlJc w:val="left"/>
      <w:pPr>
        <w:ind w:left="4320" w:hanging="360"/>
      </w:pPr>
    </w:lvl>
    <w:lvl w:ilvl="6" w:tentative="0">
      <w:start w:val="2"/>
      <w:numFmt w:val="decimal"/>
      <w:lvlText w:val="%7."/>
      <w:lvlJc w:val="left"/>
      <w:pPr>
        <w:ind w:left="5040" w:hanging="360"/>
      </w:pPr>
    </w:lvl>
    <w:lvl w:ilvl="7" w:tentative="0">
      <w:start w:val="2"/>
      <w:numFmt w:val="decimal"/>
      <w:lvlText w:val="%8."/>
      <w:lvlJc w:val="left"/>
      <w:pPr>
        <w:ind w:left="5760" w:hanging="360"/>
      </w:pPr>
    </w:lvl>
    <w:lvl w:ilvl="8" w:tentative="0">
      <w:start w:val="2"/>
      <w:numFmt w:val="decimal"/>
      <w:lvlText w:val="%9."/>
      <w:lvlJc w:val="left"/>
      <w:pPr>
        <w:ind w:left="6480" w:hanging="360"/>
      </w:pPr>
    </w:lvl>
  </w:abstractNum>
  <w:num w:numId="1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000000"/>
    <w:rsid w:val="7FBF03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styleId="15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z w:val="56"/>
      <w:szCs w:val="56"/>
    </w:rPr>
  </w:style>
  <w:style w:type="paragraph" w:styleId="16">
    <w:name w:val="Subtitle"/>
    <w:basedOn w:val="15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156082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5"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6">
    <w:name w:val="Subtitle Char"/>
    <w:basedOn w:val="19"/>
    <w:link w:val="16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9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9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2"/>
    <w:uiPriority w:val="0"/>
    <w:pPr>
      <w:keepNext/>
    </w:pPr>
  </w:style>
  <w:style w:type="paragraph" w:customStyle="1" w:styleId="45">
    <w:name w:val="Image Caption"/>
    <w:basedOn w:val="12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21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21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2025-03-21T14:46:00Z</dcterms:created>
  <dc:creator>苏雨轩</dc:creator>
  <cp:lastModifiedBy>苏雨轩</cp:lastModifiedBy>
  <dcterms:modified xsi:type="dcterms:W3CDTF">2025-03-21T14:47:14Z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374C9A94311CE9AF720BDD6706652A10_42</vt:lpwstr>
  </property>
</Properties>
</file>