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90B8BD">
      <w:pPr>
        <w:spacing w:after="240"/>
        <w:jc w:val="center"/>
      </w:pPr>
      <w:r>
        <w:rPr>
          <w:rFonts w:ascii="Times New Roman" w:hAnsi="Times New Roman" w:eastAsia="Times New Roman"/>
          <w:b/>
          <w:sz w:val="32"/>
        </w:rPr>
        <w:t>Chapter 1 Introduction and Project Context</w:t>
      </w:r>
    </w:p>
    <w:p w14:paraId="032382DE">
      <w:pPr>
        <w:spacing w:after="80"/>
        <w:jc w:val="center"/>
      </w:pPr>
      <w:r>
        <w:rPr>
          <w:rFonts w:ascii="Times New Roman" w:hAnsi="Times New Roman" w:eastAsia="Times New Roman"/>
          <w:sz w:val="24"/>
        </w:rPr>
        <w:t>StudyGraph: Graph-Grounded Diagnostic Study Assistant</w:t>
      </w:r>
    </w:p>
    <w:p w14:paraId="5CEF0D70">
      <w:pPr>
        <w:spacing w:after="320"/>
        <w:jc w:val="center"/>
      </w:pPr>
      <w:r>
        <w:rPr>
          <w:rFonts w:ascii="Times New Roman" w:hAnsi="Times New Roman" w:eastAsia="Times New Roman"/>
          <w:sz w:val="24"/>
        </w:rPr>
        <w:t>Author: Yongtong Lin</w:t>
      </w:r>
    </w:p>
    <w:p w14:paraId="5EAD1466">
      <w:pPr>
        <w:pStyle w:val="3"/>
        <w:keepNext/>
      </w:pPr>
      <w:r>
        <w:rPr>
          <w:rFonts w:ascii="Times New Roman" w:hAnsi="Times New Roman" w:eastAsia="Times New Roman"/>
          <w:b/>
          <w:sz w:val="24"/>
        </w:rPr>
        <w:t>1.1 Problem and project context</w:t>
      </w:r>
    </w:p>
    <w:p w14:paraId="3F8C7EC9">
      <w:pPr>
        <w:spacing w:after="120" w:line="360" w:lineRule="auto"/>
      </w:pPr>
      <w:r>
        <w:rPr>
          <w:rFonts w:ascii="Times New Roman" w:hAnsi="Times New Roman" w:eastAsia="Times New Roman"/>
          <w:sz w:val="24"/>
        </w:rPr>
        <w:t>Many digital revision tools make it easy to practise, but a correct/incorrect mark often gives limited guidance about what to do next. The same wrong score can reflect different reasoning: a learner may have confused two concepts, missed a prerequisite condition, or followed the right method with an incorrect step. StudyGraph is designed to make this feedback more actionable by connecting each selected answer to the concept being tested, the reasoning associated with that option, relevant prerequisites, and supporting evidence.</w:t>
      </w:r>
    </w:p>
    <w:p w14:paraId="5D605C28">
      <w:pPr>
        <w:spacing w:after="120" w:line="360" w:lineRule="auto"/>
      </w:pPr>
      <w:r>
        <w:rPr>
          <w:rFonts w:ascii="Times New Roman" w:hAnsi="Times New Roman" w:eastAsia="Times New Roman"/>
          <w:sz w:val="24"/>
        </w:rPr>
        <w:t>In a processor-pipeline question, for example, different distractors can represent confusion between data, structural, and control hazards. StudyGraph links the chosen distractor to its corresponding misconception, then offers a short hint and access to a question-specific concept graph. This gives the learner a route from an answer to a targeted review action, while keeping the explanation tied to inspectable question content. The same interaction pattern can be applied to other subjects when their question content is structured in the same way.</w:t>
      </w:r>
    </w:p>
    <w:p w14:paraId="43ECAFDA">
      <w:pPr>
        <w:pStyle w:val="3"/>
        <w:keepNext/>
      </w:pPr>
      <w:r>
        <w:rPr>
          <w:rFonts w:ascii="Times New Roman" w:hAnsi="Times New Roman" w:eastAsia="Times New Roman"/>
          <w:b/>
          <w:sz w:val="24"/>
        </w:rPr>
        <w:t>1.2 Educational and technical background</w:t>
      </w:r>
    </w:p>
    <w:p w14:paraId="0BFB3A4A">
      <w:pPr>
        <w:spacing w:after="120" w:line="360" w:lineRule="auto"/>
      </w:pPr>
      <w:r>
        <w:rPr>
          <w:rFonts w:ascii="Times New Roman" w:hAnsi="Times New Roman" w:eastAsia="Times New Roman"/>
          <w:sz w:val="24"/>
        </w:rPr>
        <w:t>Effective feedback answers three practical questions: what is the task asking, how does the current reasoning compare with the task, and what should the learner try next? Hattie and Timperley (2007) distinguish feedback about the task, the process, and self-regulation. For StudyGraph, the most useful response is therefore more than a correctness label: it identifies the misconception indicated by the selected option, points to the prerequisite or reasoning step to reconsider, and gives the learner a next action. StudyGraph therefore focuses feedback on the learner’s reasoning and the next step, rather than on personal judgement.</w:t>
      </w:r>
    </w:p>
    <w:p w14:paraId="496B6C02">
      <w:pPr>
        <w:spacing w:after="120" w:line="360" w:lineRule="auto"/>
      </w:pPr>
      <w:r>
        <w:rPr>
          <w:rFonts w:ascii="Times New Roman" w:hAnsi="Times New Roman" w:eastAsia="Times New Roman"/>
          <w:sz w:val="24"/>
        </w:rPr>
        <w:t>The timing and level of support matter as well. Before answering, a learner can inspect the question evidence or request a first-level hint, but the system keeps the correct answer hidden. After submission, it immediately identifies the misconception associated with the selected option and points to a relevant prerequisite. The learner can then open the guided tutor or choose to reveal the full explanation. This sequence preserves an initial attempt, makes help available at the moment of difficulty, and gives the learner control over how much explanation to see. VanLehn’s (2011) review compares answer-based, step-based, and substep-based tutoring; its results caution against assuming that ever more detailed assistance is automatically better. StudyGraph uses focused option-level feedback followed by learner-controlled help, matching the kind of support to the stage of the attempt.</w:t>
      </w:r>
    </w:p>
    <w:p w14:paraId="113C30D4">
      <w:pPr>
        <w:spacing w:after="120" w:line="360" w:lineRule="auto"/>
      </w:pPr>
      <w:r>
        <w:rPr>
          <w:rFonts w:ascii="Times New Roman" w:hAnsi="Times New Roman" w:eastAsia="Times New Roman"/>
          <w:sz w:val="24"/>
        </w:rPr>
        <w:t>Practice questions also prompt retrieval: learners must bring relevant knowledge to mind before receiving an explanation. Roediger and Karpicke (2006) found that retrieval through testing supported later retention under the conditions they studied. StudyGraph requires an initial answer before revealing the full explanation, while keeping the first-level hint optional, while its hints are intended to keep learners working through the problem rather than immediately replacing their reasoning with a worked answer. The explanation remains available when feedback is needed to correct or consolidate understanding.</w:t>
      </w:r>
    </w:p>
    <w:p w14:paraId="6A1B7389">
      <w:pPr>
        <w:spacing w:after="120" w:line="360" w:lineRule="auto"/>
      </w:pPr>
      <w:r>
        <w:rPr>
          <w:rFonts w:ascii="Times New Roman" w:hAnsi="Times New Roman" w:eastAsia="Times New Roman"/>
          <w:sz w:val="24"/>
        </w:rPr>
        <w:t>The question-specific graph makes relationships among a topic, prerequisites, and common misconceptions visible. It complements rather than replaces a formal learner model. Knowledge-tracing methods estimate a learner’s changing knowledge state from repeated observations (Corbett and Anderson, 1995); StudyGraph’s practice dimensions instead summarise tagged attempts and provide a navigable view of question content. This distinction gives learners a useful map of what is connected without overstating what the progress view measures. VanLehn’s review also found that well-designed intelligent tutoring systems can support learning, while showing that tutoring format alone does not determine effectiveness. StudyGraph therefore combines structured content, diagnostic feedback, and controlled assistance as complementary parts of one workflow (VanLehn, 2011; Kulik and Fletcher, 2016).</w:t>
      </w:r>
    </w:p>
    <w:p w14:paraId="5FF5FA34">
      <w:pPr>
        <w:spacing w:after="120" w:line="360" w:lineRule="auto"/>
      </w:pPr>
      <w:r>
        <w:rPr>
          <w:rFonts w:ascii="Times New Roman" w:hAnsi="Times New Roman" w:eastAsia="Times New Roman"/>
          <w:sz w:val="24"/>
        </w:rPr>
        <w:t>For optional model-assisted tutoring, StudyGraph supplies the current question and its evidence to the server-side model endpoint. Retrieval-augmented generation research shows how retrieved material can ground responses in external knowledge (Lewis et al., 2020). In this design, evidence gives the tutor a relevant basis for its prompt and makes the basis visible to the learner; the local tutor remains available when an external service is not configured.</w:t>
      </w:r>
    </w:p>
    <w:p w14:paraId="5F200EB9">
      <w:pPr>
        <w:pStyle w:val="3"/>
        <w:keepNext/>
      </w:pPr>
      <w:r>
        <w:rPr>
          <w:rFonts w:ascii="Times New Roman" w:hAnsi="Times New Roman" w:eastAsia="Times New Roman"/>
          <w:b/>
          <w:sz w:val="24"/>
        </w:rPr>
        <w:t>1.3 Related study systems</w:t>
      </w:r>
    </w:p>
    <w:p w14:paraId="778CF886">
      <w:pPr>
        <w:spacing w:after="120" w:line="360" w:lineRule="auto"/>
      </w:pPr>
      <w:r>
        <w:rPr>
          <w:rFonts w:ascii="Times New Roman" w:hAnsi="Times New Roman" w:eastAsia="Times New Roman"/>
          <w:sz w:val="24"/>
        </w:rPr>
        <w:t>StudyGraph sits among flashcard systems, practice-test services, and conversational tutors. Anki centres on card review and scheduling, Quizlet offers flashcards and practice tests from study material, ChatGPT Study Mode offers guided study conversations, and Khanmigo is presented by Khan Academy as an AI tutor and teaching assistant. These products support different stages of revision, from remembering facts to exploring a topic through dialogue.</w:t>
      </w:r>
    </w:p>
    <w:p w14:paraId="369F01E4">
      <w:pPr>
        <w:spacing w:after="120" w:line="360" w:lineRule="auto"/>
      </w:pPr>
      <w:r>
        <w:rPr>
          <w:rFonts w:ascii="Times New Roman" w:hAnsi="Times New Roman" w:eastAsia="Times New Roman"/>
          <w:sz w:val="24"/>
        </w:rPr>
        <w:t>StudyGraph focuses on the step between an answer and a useful next action. Its distinguishing workflow connects the chosen distractor to a specific misconception, prerequisite, and supporting evidence. This positions the product as a complementary diagnostic layer: learners can practise in a structured way and then follow a visible route into the relevant concept or prerequisite.</w:t>
      </w:r>
    </w:p>
    <w:p w14:paraId="266777E1">
      <w:pPr>
        <w:pStyle w:val="15"/>
        <w:spacing w:after="120" w:line="360" w:lineRule="auto"/>
        <w:jc w:val="center"/>
      </w:pPr>
      <w:r>
        <w:rPr>
          <w:rFonts w:ascii="Times New Roman" w:hAnsi="Times New Roman" w:eastAsia="Times New Roman"/>
          <w:sz w:val="24"/>
        </w:rPr>
        <w:t>Table 1.1 Comparison of study systems</w:t>
      </w:r>
    </w:p>
    <w:tbl>
      <w:tblPr>
        <w:tblStyle w:val="32"/>
        <w:tblW w:w="0" w:type="auto"/>
        <w:jc w:val="center"/>
        <w:tblLayout w:type="autofit"/>
        <w:tblCellMar>
          <w:top w:w="0" w:type="dxa"/>
          <w:left w:w="108" w:type="dxa"/>
          <w:bottom w:w="0" w:type="dxa"/>
          <w:right w:w="108" w:type="dxa"/>
        </w:tblCellMar>
      </w:tblPr>
      <w:tblGrid>
        <w:gridCol w:w="1806"/>
        <w:gridCol w:w="1806"/>
        <w:gridCol w:w="1806"/>
        <w:gridCol w:w="1806"/>
        <w:gridCol w:w="1806"/>
      </w:tblGrid>
      <w:tr w14:paraId="6B525750">
        <w:tblPrEx>
          <w:tblCellMar>
            <w:top w:w="0" w:type="dxa"/>
            <w:left w:w="108" w:type="dxa"/>
            <w:bottom w:w="0" w:type="dxa"/>
            <w:right w:w="108" w:type="dxa"/>
          </w:tblCellMar>
        </w:tblPrEx>
        <w:trPr>
          <w:cantSplit/>
          <w:jc w:val="center"/>
        </w:trPr>
        <w:tc>
          <w:tcPr>
            <w:tcW w:w="180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24476B"/>
            <w:vAlign w:val="center"/>
          </w:tcPr>
          <w:p w14:paraId="0383AEA0">
            <w:pPr>
              <w:spacing w:before="60" w:after="60" w:line="276" w:lineRule="auto"/>
            </w:pPr>
            <w:r>
              <w:rPr>
                <w:rFonts w:ascii="Times New Roman" w:hAnsi="Times New Roman" w:eastAsia="Times New Roman"/>
                <w:b/>
                <w:color w:val="FFFFFF"/>
                <w:sz w:val="19"/>
              </w:rPr>
              <w:t>System</w:t>
            </w:r>
          </w:p>
        </w:tc>
        <w:tc>
          <w:tcPr>
            <w:tcW w:w="180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24476B"/>
            <w:vAlign w:val="center"/>
          </w:tcPr>
          <w:p w14:paraId="634E8067">
            <w:pPr>
              <w:spacing w:before="60" w:after="60" w:line="276" w:lineRule="auto"/>
            </w:pPr>
            <w:r>
              <w:rPr>
                <w:rFonts w:ascii="Times New Roman" w:hAnsi="Times New Roman" w:eastAsia="Times New Roman"/>
                <w:b/>
                <w:color w:val="FFFFFF"/>
                <w:sz w:val="19"/>
              </w:rPr>
              <w:t>Study approach</w:t>
            </w:r>
          </w:p>
        </w:tc>
        <w:tc>
          <w:tcPr>
            <w:tcW w:w="180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24476B"/>
            <w:vAlign w:val="center"/>
          </w:tcPr>
          <w:p w14:paraId="1C3B6D92">
            <w:pPr>
              <w:spacing w:before="60" w:after="60" w:line="276" w:lineRule="auto"/>
            </w:pPr>
            <w:r>
              <w:rPr>
                <w:rFonts w:ascii="Times New Roman" w:hAnsi="Times New Roman" w:eastAsia="Times New Roman"/>
                <w:b/>
                <w:color w:val="FFFFFF"/>
                <w:sz w:val="19"/>
              </w:rPr>
              <w:t>Response to a wrong answer</w:t>
            </w:r>
          </w:p>
        </w:tc>
        <w:tc>
          <w:tcPr>
            <w:tcW w:w="180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24476B"/>
            <w:vAlign w:val="center"/>
          </w:tcPr>
          <w:p w14:paraId="3E6695D6">
            <w:pPr>
              <w:spacing w:before="60" w:after="60" w:line="276" w:lineRule="auto"/>
            </w:pPr>
            <w:r>
              <w:rPr>
                <w:rFonts w:ascii="Times New Roman" w:hAnsi="Times New Roman" w:eastAsia="Times New Roman"/>
                <w:b/>
                <w:color w:val="FFFFFF"/>
                <w:sz w:val="19"/>
              </w:rPr>
              <w:t>Evidence and prerequisite links</w:t>
            </w:r>
          </w:p>
        </w:tc>
        <w:tc>
          <w:tcPr>
            <w:tcW w:w="180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24476B"/>
            <w:vAlign w:val="center"/>
          </w:tcPr>
          <w:p w14:paraId="768F0F57">
            <w:pPr>
              <w:spacing w:before="60" w:after="60" w:line="276" w:lineRule="auto"/>
            </w:pPr>
            <w:r>
              <w:rPr>
                <w:rFonts w:ascii="Times New Roman" w:hAnsi="Times New Roman" w:eastAsia="Times New Roman"/>
                <w:b/>
                <w:color w:val="FFFFFF"/>
                <w:sz w:val="19"/>
              </w:rPr>
              <w:t>Offline/core use</w:t>
            </w:r>
          </w:p>
        </w:tc>
      </w:tr>
      <w:tr w14:paraId="742A5719">
        <w:tblPrEx>
          <w:tblCellMar>
            <w:top w:w="0" w:type="dxa"/>
            <w:left w:w="108" w:type="dxa"/>
            <w:bottom w:w="0" w:type="dxa"/>
            <w:right w:w="108" w:type="dxa"/>
          </w:tblCellMar>
        </w:tblPrEx>
        <w:trPr>
          <w:cantSplit/>
          <w:jc w:val="center"/>
        </w:trPr>
        <w:tc>
          <w:tcPr>
            <w:tcW w:w="180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A115A9A">
            <w:pPr>
              <w:spacing w:before="60" w:after="60" w:line="276" w:lineRule="auto"/>
            </w:pPr>
            <w:r>
              <w:rPr>
                <w:rFonts w:ascii="Times New Roman" w:hAnsi="Times New Roman" w:eastAsia="Times New Roman"/>
                <w:b w:val="0"/>
                <w:sz w:val="19"/>
              </w:rPr>
              <w:t>StudyGraph</w:t>
            </w:r>
          </w:p>
        </w:tc>
        <w:tc>
          <w:tcPr>
            <w:tcW w:w="180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14E60B02">
            <w:pPr>
              <w:spacing w:before="60" w:after="60" w:line="276" w:lineRule="auto"/>
            </w:pPr>
            <w:r>
              <w:rPr>
                <w:rFonts w:ascii="Times New Roman" w:hAnsi="Times New Roman" w:eastAsia="Times New Roman"/>
                <w:b w:val="0"/>
                <w:sz w:val="19"/>
              </w:rPr>
              <w:t>Curated MCQ practice with a question-specific graph</w:t>
            </w:r>
          </w:p>
        </w:tc>
        <w:tc>
          <w:tcPr>
            <w:tcW w:w="180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78E30E2">
            <w:pPr>
              <w:spacing w:before="60" w:after="60" w:line="276" w:lineRule="auto"/>
            </w:pPr>
            <w:r>
              <w:rPr>
                <w:rFonts w:ascii="Times New Roman" w:hAnsi="Times New Roman" w:eastAsia="Times New Roman"/>
                <w:b w:val="0"/>
                <w:sz w:val="19"/>
              </w:rPr>
              <w:t>Maps a selected distractor to a named misconception and prerequisite</w:t>
            </w:r>
          </w:p>
        </w:tc>
        <w:tc>
          <w:tcPr>
            <w:tcW w:w="180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1482DEC4">
            <w:pPr>
              <w:spacing w:before="60" w:after="60" w:line="276" w:lineRule="auto"/>
            </w:pPr>
            <w:r>
              <w:rPr>
                <w:rFonts w:ascii="Times New Roman" w:hAnsi="Times New Roman" w:eastAsia="Times New Roman"/>
                <w:b w:val="0"/>
                <w:sz w:val="19"/>
              </w:rPr>
              <w:t>Authored evidence is displayed with source status</w:t>
            </w:r>
          </w:p>
        </w:tc>
        <w:tc>
          <w:tcPr>
            <w:tcW w:w="180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204A39AA">
            <w:pPr>
              <w:spacing w:before="60" w:after="60" w:line="276" w:lineRule="auto"/>
            </w:pPr>
            <w:r>
              <w:rPr>
                <w:rFonts w:ascii="Times New Roman" w:hAnsi="Times New Roman" w:eastAsia="Times New Roman"/>
                <w:b w:val="0"/>
                <w:sz w:val="19"/>
              </w:rPr>
              <w:t>Core local workflow; model endpoint optional</w:t>
            </w:r>
          </w:p>
        </w:tc>
      </w:tr>
      <w:tr w14:paraId="51E4D16E">
        <w:tblPrEx>
          <w:tblCellMar>
            <w:top w:w="0" w:type="dxa"/>
            <w:left w:w="108" w:type="dxa"/>
            <w:bottom w:w="0" w:type="dxa"/>
            <w:right w:w="108" w:type="dxa"/>
          </w:tblCellMar>
        </w:tblPrEx>
        <w:trPr>
          <w:cantSplit/>
          <w:jc w:val="center"/>
        </w:trPr>
        <w:tc>
          <w:tcPr>
            <w:tcW w:w="180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1F5F9"/>
            <w:vAlign w:val="center"/>
          </w:tcPr>
          <w:p w14:paraId="3F179F70">
            <w:pPr>
              <w:spacing w:before="60" w:after="60" w:line="276" w:lineRule="auto"/>
            </w:pPr>
            <w:r>
              <w:rPr>
                <w:rFonts w:ascii="Times New Roman" w:hAnsi="Times New Roman" w:eastAsia="Times New Roman"/>
                <w:b w:val="0"/>
                <w:sz w:val="19"/>
              </w:rPr>
              <w:t>Anki</w:t>
            </w:r>
          </w:p>
        </w:tc>
        <w:tc>
          <w:tcPr>
            <w:tcW w:w="180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1F5F9"/>
            <w:vAlign w:val="center"/>
          </w:tcPr>
          <w:p w14:paraId="390B6606">
            <w:pPr>
              <w:spacing w:before="60" w:after="60" w:line="276" w:lineRule="auto"/>
            </w:pPr>
            <w:r>
              <w:rPr>
                <w:rFonts w:ascii="Times New Roman" w:hAnsi="Times New Roman" w:eastAsia="Times New Roman"/>
                <w:b w:val="0"/>
                <w:sz w:val="19"/>
              </w:rPr>
              <w:t>Flashcards and scheduled review</w:t>
            </w:r>
          </w:p>
        </w:tc>
        <w:tc>
          <w:tcPr>
            <w:tcW w:w="180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1F5F9"/>
            <w:vAlign w:val="center"/>
          </w:tcPr>
          <w:p w14:paraId="5F405415">
            <w:pPr>
              <w:spacing w:before="60" w:after="60" w:line="276" w:lineRule="auto"/>
            </w:pPr>
            <w:r>
              <w:rPr>
                <w:rFonts w:ascii="Times New Roman" w:hAnsi="Times New Roman" w:eastAsia="Times New Roman"/>
                <w:b w:val="0"/>
                <w:sz w:val="19"/>
              </w:rPr>
              <w:t>Depends on the card content; option-level diagnosis is not its central function</w:t>
            </w:r>
          </w:p>
        </w:tc>
        <w:tc>
          <w:tcPr>
            <w:tcW w:w="180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1F5F9"/>
            <w:vAlign w:val="center"/>
          </w:tcPr>
          <w:p w14:paraId="6D267D7E">
            <w:pPr>
              <w:spacing w:before="60" w:after="60" w:line="276" w:lineRule="auto"/>
            </w:pPr>
            <w:r>
              <w:rPr>
                <w:rFonts w:ascii="Times New Roman" w:hAnsi="Times New Roman" w:eastAsia="Times New Roman"/>
                <w:b w:val="0"/>
                <w:sz w:val="19"/>
              </w:rPr>
              <w:t>Deck content is user-created or shared; no required concept graph</w:t>
            </w:r>
          </w:p>
        </w:tc>
        <w:tc>
          <w:tcPr>
            <w:tcW w:w="180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1F5F9"/>
            <w:vAlign w:val="center"/>
          </w:tcPr>
          <w:p w14:paraId="7DA30E78">
            <w:pPr>
              <w:spacing w:before="60" w:after="60" w:line="276" w:lineRule="auto"/>
            </w:pPr>
            <w:r>
              <w:rPr>
                <w:rFonts w:ascii="Times New Roman" w:hAnsi="Times New Roman" w:eastAsia="Times New Roman"/>
                <w:b w:val="0"/>
                <w:sz w:val="19"/>
              </w:rPr>
              <w:t>Desktop study is local; synchronisation uses AnkiWeb</w:t>
            </w:r>
          </w:p>
        </w:tc>
      </w:tr>
      <w:tr w14:paraId="056F938A">
        <w:tblPrEx>
          <w:tblCellMar>
            <w:top w:w="0" w:type="dxa"/>
            <w:left w:w="108" w:type="dxa"/>
            <w:bottom w:w="0" w:type="dxa"/>
            <w:right w:w="108" w:type="dxa"/>
          </w:tblCellMar>
        </w:tblPrEx>
        <w:trPr>
          <w:cantSplit/>
          <w:jc w:val="center"/>
        </w:trPr>
        <w:tc>
          <w:tcPr>
            <w:tcW w:w="180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C0356C4">
            <w:pPr>
              <w:spacing w:before="60" w:after="60" w:line="276" w:lineRule="auto"/>
            </w:pPr>
            <w:r>
              <w:rPr>
                <w:rFonts w:ascii="Times New Roman" w:hAnsi="Times New Roman" w:eastAsia="Times New Roman"/>
                <w:b w:val="0"/>
                <w:sz w:val="19"/>
              </w:rPr>
              <w:t>Quizlet</w:t>
            </w:r>
          </w:p>
        </w:tc>
        <w:tc>
          <w:tcPr>
            <w:tcW w:w="180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280389FB">
            <w:pPr>
              <w:spacing w:before="60" w:after="60" w:line="276" w:lineRule="auto"/>
            </w:pPr>
            <w:r>
              <w:rPr>
                <w:rFonts w:ascii="Times New Roman" w:hAnsi="Times New Roman" w:eastAsia="Times New Roman"/>
                <w:b w:val="0"/>
                <w:sz w:val="19"/>
              </w:rPr>
              <w:t>Flashcards and practice tests generated from study material</w:t>
            </w:r>
          </w:p>
        </w:tc>
        <w:tc>
          <w:tcPr>
            <w:tcW w:w="180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5CE4BF6">
            <w:pPr>
              <w:spacing w:before="60" w:after="60" w:line="276" w:lineRule="auto"/>
            </w:pPr>
            <w:r>
              <w:rPr>
                <w:rFonts w:ascii="Times New Roman" w:hAnsi="Times New Roman" w:eastAsia="Times New Roman"/>
                <w:b w:val="0"/>
                <w:sz w:val="19"/>
              </w:rPr>
              <w:t>Explanation features depend on the activity and plan; no consistent option-to-prerequisite graph is documented</w:t>
            </w:r>
          </w:p>
        </w:tc>
        <w:tc>
          <w:tcPr>
            <w:tcW w:w="180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0968062">
            <w:pPr>
              <w:spacing w:before="60" w:after="60" w:line="276" w:lineRule="auto"/>
            </w:pPr>
            <w:r>
              <w:rPr>
                <w:rFonts w:ascii="Times New Roman" w:hAnsi="Times New Roman" w:eastAsia="Times New Roman"/>
                <w:b w:val="0"/>
                <w:sz w:val="19"/>
              </w:rPr>
              <w:t>Uses uploaded notes or sets; availability varies by feature and language</w:t>
            </w:r>
          </w:p>
        </w:tc>
        <w:tc>
          <w:tcPr>
            <w:tcW w:w="180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7722DC3">
            <w:pPr>
              <w:spacing w:before="60" w:after="60" w:line="276" w:lineRule="auto"/>
            </w:pPr>
            <w:r>
              <w:rPr>
                <w:rFonts w:ascii="Times New Roman" w:hAnsi="Times New Roman" w:eastAsia="Times New Roman"/>
                <w:b w:val="0"/>
                <w:sz w:val="19"/>
              </w:rPr>
              <w:t>Online service; feature access varies by plan and region</w:t>
            </w:r>
          </w:p>
        </w:tc>
      </w:tr>
      <w:tr w14:paraId="0D70FC88">
        <w:tblPrEx>
          <w:tblCellMar>
            <w:top w:w="0" w:type="dxa"/>
            <w:left w:w="108" w:type="dxa"/>
            <w:bottom w:w="0" w:type="dxa"/>
            <w:right w:w="108" w:type="dxa"/>
          </w:tblCellMar>
        </w:tblPrEx>
        <w:trPr>
          <w:cantSplit/>
          <w:jc w:val="center"/>
        </w:trPr>
        <w:tc>
          <w:tcPr>
            <w:tcW w:w="180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1F5F9"/>
            <w:vAlign w:val="center"/>
          </w:tcPr>
          <w:p w14:paraId="389C4CBD">
            <w:pPr>
              <w:spacing w:before="60" w:after="60" w:line="276" w:lineRule="auto"/>
            </w:pPr>
            <w:r>
              <w:rPr>
                <w:rFonts w:ascii="Times New Roman" w:hAnsi="Times New Roman" w:eastAsia="Times New Roman"/>
                <w:b w:val="0"/>
                <w:sz w:val="19"/>
              </w:rPr>
              <w:t>ChatGPT Study Mode</w:t>
            </w:r>
          </w:p>
        </w:tc>
        <w:tc>
          <w:tcPr>
            <w:tcW w:w="180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1F5F9"/>
            <w:vAlign w:val="center"/>
          </w:tcPr>
          <w:p w14:paraId="781EC8E9">
            <w:pPr>
              <w:spacing w:before="60" w:after="60" w:line="276" w:lineRule="auto"/>
            </w:pPr>
            <w:r>
              <w:rPr>
                <w:rFonts w:ascii="Times New Roman" w:hAnsi="Times New Roman" w:eastAsia="Times New Roman"/>
                <w:b w:val="0"/>
                <w:sz w:val="19"/>
              </w:rPr>
              <w:t>Guided conversation, practice questions, and explanations</w:t>
            </w:r>
          </w:p>
        </w:tc>
        <w:tc>
          <w:tcPr>
            <w:tcW w:w="180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1F5F9"/>
            <w:vAlign w:val="center"/>
          </w:tcPr>
          <w:p w14:paraId="1B3A94FB">
            <w:pPr>
              <w:spacing w:before="60" w:after="60" w:line="276" w:lineRule="auto"/>
            </w:pPr>
            <w:r>
              <w:rPr>
                <w:rFonts w:ascii="Times New Roman" w:hAnsi="Times New Roman" w:eastAsia="Times New Roman"/>
                <w:b w:val="0"/>
                <w:sz w:val="19"/>
              </w:rPr>
              <w:t>Can discuss a missed answer through generated dialogue</w:t>
            </w:r>
          </w:p>
        </w:tc>
        <w:tc>
          <w:tcPr>
            <w:tcW w:w="180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1F5F9"/>
            <w:vAlign w:val="center"/>
          </w:tcPr>
          <w:p w14:paraId="29D317B1">
            <w:pPr>
              <w:spacing w:before="60" w:after="60" w:line="276" w:lineRule="auto"/>
            </w:pPr>
            <w:r>
              <w:rPr>
                <w:rFonts w:ascii="Times New Roman" w:hAnsi="Times New Roman" w:eastAsia="Times New Roman"/>
                <w:b w:val="0"/>
                <w:sz w:val="19"/>
              </w:rPr>
              <w:t>Can work with user-provided material; output still needs checking</w:t>
            </w:r>
          </w:p>
        </w:tc>
        <w:tc>
          <w:tcPr>
            <w:tcW w:w="180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1F5F9"/>
            <w:vAlign w:val="center"/>
          </w:tcPr>
          <w:p w14:paraId="0EBEB4D7">
            <w:pPr>
              <w:spacing w:before="60" w:after="60" w:line="276" w:lineRule="auto"/>
            </w:pPr>
            <w:r>
              <w:rPr>
                <w:rFonts w:ascii="Times New Roman" w:hAnsi="Times New Roman" w:eastAsia="Times New Roman"/>
                <w:b w:val="0"/>
                <w:sz w:val="19"/>
              </w:rPr>
              <w:t>Online service with account and usage rules</w:t>
            </w:r>
          </w:p>
        </w:tc>
      </w:tr>
      <w:tr w14:paraId="6060BDD2">
        <w:tblPrEx>
          <w:tblCellMar>
            <w:top w:w="0" w:type="dxa"/>
            <w:left w:w="108" w:type="dxa"/>
            <w:bottom w:w="0" w:type="dxa"/>
            <w:right w:w="108" w:type="dxa"/>
          </w:tblCellMar>
        </w:tblPrEx>
        <w:trPr>
          <w:cantSplit/>
          <w:jc w:val="center"/>
        </w:trPr>
        <w:tc>
          <w:tcPr>
            <w:tcW w:w="180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7776E58C">
            <w:pPr>
              <w:spacing w:before="60" w:after="60" w:line="276" w:lineRule="auto"/>
            </w:pPr>
            <w:r>
              <w:rPr>
                <w:rFonts w:ascii="Times New Roman" w:hAnsi="Times New Roman" w:eastAsia="Times New Roman"/>
                <w:b w:val="0"/>
                <w:sz w:val="19"/>
              </w:rPr>
              <w:t>Khanmigo</w:t>
            </w:r>
          </w:p>
        </w:tc>
        <w:tc>
          <w:tcPr>
            <w:tcW w:w="180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4CA950D2">
            <w:pPr>
              <w:spacing w:before="60" w:after="60" w:line="276" w:lineRule="auto"/>
            </w:pPr>
            <w:r>
              <w:rPr>
                <w:rFonts w:ascii="Times New Roman" w:hAnsi="Times New Roman" w:eastAsia="Times New Roman"/>
                <w:b w:val="0"/>
                <w:sz w:val="19"/>
              </w:rPr>
              <w:t>AI tutoring and teaching support</w:t>
            </w:r>
          </w:p>
        </w:tc>
        <w:tc>
          <w:tcPr>
            <w:tcW w:w="180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26CD2CFB">
            <w:pPr>
              <w:spacing w:before="60" w:after="60" w:line="276" w:lineRule="auto"/>
            </w:pPr>
            <w:r>
              <w:rPr>
                <w:rFonts w:ascii="Times New Roman" w:hAnsi="Times New Roman" w:eastAsia="Times New Roman"/>
                <w:b w:val="0"/>
                <w:sz w:val="19"/>
              </w:rPr>
              <w:t>Guides learners through questions and hints</w:t>
            </w:r>
          </w:p>
        </w:tc>
        <w:tc>
          <w:tcPr>
            <w:tcW w:w="180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540449D">
            <w:pPr>
              <w:spacing w:before="60" w:after="60" w:line="276" w:lineRule="auto"/>
            </w:pPr>
            <w:r>
              <w:rPr>
                <w:rFonts w:ascii="Times New Roman" w:hAnsi="Times New Roman" w:eastAsia="Times New Roman"/>
                <w:b w:val="0"/>
                <w:sz w:val="19"/>
              </w:rPr>
              <w:t>Tutor integrated with Khan Academy content; available features vary by access route</w:t>
            </w:r>
          </w:p>
        </w:tc>
        <w:tc>
          <w:tcPr>
            <w:tcW w:w="180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044B8E57">
            <w:pPr>
              <w:spacing w:before="60" w:after="60" w:line="276" w:lineRule="auto"/>
            </w:pPr>
            <w:r>
              <w:rPr>
                <w:rFonts w:ascii="Times New Roman" w:hAnsi="Times New Roman" w:eastAsia="Times New Roman"/>
                <w:b w:val="0"/>
                <w:sz w:val="19"/>
              </w:rPr>
              <w:t>Online service; access conditions vary by location and age</w:t>
            </w:r>
          </w:p>
        </w:tc>
      </w:tr>
    </w:tbl>
    <w:p w14:paraId="77B78FD1">
      <w:pPr>
        <w:spacing w:after="40"/>
      </w:pPr>
    </w:p>
    <w:p w14:paraId="4E045AB9">
      <w:pPr>
        <w:pStyle w:val="15"/>
        <w:spacing w:after="120" w:line="360" w:lineRule="auto"/>
        <w:jc w:val="center"/>
      </w:pPr>
      <w:r>
        <w:rPr>
          <w:rFonts w:ascii="Times New Roman" w:hAnsi="Times New Roman" w:eastAsia="Times New Roman"/>
          <w:sz w:val="24"/>
        </w:rPr>
        <w:t>Figure 1.2 StudyGraph learning workflow</w:t>
      </w:r>
    </w:p>
    <w:p w14:paraId="06250573">
      <w:pPr>
        <w:keepNext/>
        <w:spacing w:before="80" w:after="60"/>
        <w:jc w:val="center"/>
        <w:rPr>
          <w:rFonts w:hint="eastAsia" w:eastAsia="宋体"/>
          <w:lang w:eastAsia="zh-CN"/>
        </w:rPr>
      </w:pPr>
      <w:r>
        <w:rPr>
          <w:rFonts w:hint="eastAsia" w:eastAsia="宋体"/>
          <w:lang w:eastAsia="zh-CN"/>
        </w:rPr>
        <w:drawing>
          <wp:inline distT="0" distB="0" distL="114300" distR="114300">
            <wp:extent cx="5728335" cy="2762885"/>
            <wp:effectExtent l="0" t="0" r="12065" b="5715"/>
            <wp:docPr id="5" name="图片 5" descr="a7c94421-6ea8-44ae-b0de-36272e096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7c94421-6ea8-44ae-b0de-36272e096180"/>
                    <pic:cNvPicPr>
                      <a:picLocks noChangeAspect="1"/>
                    </pic:cNvPicPr>
                  </pic:nvPicPr>
                  <pic:blipFill>
                    <a:blip r:embed="rId6"/>
                    <a:stretch>
                      <a:fillRect/>
                    </a:stretch>
                  </pic:blipFill>
                  <pic:spPr>
                    <a:xfrm>
                      <a:off x="0" y="0"/>
                      <a:ext cx="5728335" cy="2762885"/>
                    </a:xfrm>
                    <a:prstGeom prst="rect">
                      <a:avLst/>
                    </a:prstGeom>
                  </pic:spPr>
                </pic:pic>
              </a:graphicData>
            </a:graphic>
          </wp:inline>
        </w:drawing>
      </w:r>
    </w:p>
    <w:p w14:paraId="5D567726">
      <w:pPr>
        <w:keepLines/>
        <w:spacing w:after="160"/>
        <w:jc w:val="center"/>
      </w:pPr>
      <w:r>
        <w:rPr>
          <w:rFonts w:ascii="Times New Roman" w:hAnsi="Times New Roman" w:eastAsia="Times New Roman"/>
          <w:i/>
          <w:sz w:val="20"/>
        </w:rPr>
        <w:t>Figure 1.2. StudyGraph learning workflow.</w:t>
      </w:r>
    </w:p>
    <w:p w14:paraId="6F418D3D">
      <w:pPr>
        <w:pStyle w:val="3"/>
        <w:keepNext/>
      </w:pPr>
      <w:r>
        <w:rPr>
          <w:rFonts w:ascii="Times New Roman" w:hAnsi="Times New Roman" w:eastAsia="Times New Roman"/>
          <w:b/>
          <w:sz w:val="24"/>
        </w:rPr>
        <w:t>1.4 Intended users and stakeholders</w:t>
      </w:r>
    </w:p>
    <w:p w14:paraId="350CC50F">
      <w:pPr>
        <w:spacing w:after="120" w:line="360" w:lineRule="auto"/>
      </w:pPr>
      <w:r>
        <w:rPr>
          <w:rFonts w:ascii="Times New Roman" w:hAnsi="Times New Roman" w:eastAsia="Times New Roman"/>
          <w:sz w:val="24"/>
        </w:rPr>
        <w:t>We designed StudyGraph for learners who practise through structured questions and want to understand why an answer is right or wrong. The learning workflow is not tied to a university major: although the current question bank focuses on computing and software engineering, the same pattern—question, answer options, concepts, misconceptions, prerequisites, evidence, and explanation—can support other disciplines. To add a subject, its questions must be converted into the supported content structure and its options linked to relevant concepts, misconceptions, prerequisites, and evidence. The current application does not ingest arbitrary raw files unchanged; subject expansion is a content-preparation task, not a limit on who can use the learning workflow.</w:t>
      </w:r>
    </w:p>
    <w:p w14:paraId="3FFC2A42">
      <w:pPr>
        <w:spacing w:after="120" w:line="360" w:lineRule="auto"/>
      </w:pPr>
      <w:r>
        <w:rPr>
          <w:rFonts w:ascii="Times New Roman" w:hAnsi="Times New Roman" w:eastAsia="Times New Roman"/>
          <w:sz w:val="24"/>
        </w:rPr>
        <w:t>The user needs in Table 1.3 follow from the product workflow and the content and deployment tasks required to operate it. An independent learner needs to practise and identify a useful next review step. A learner who gets stuck needs a hint before a complete explanation and a way to inspect the evidence. Educators, instructional designers, and learning-platform teams are content and deployment stakeholders: they can prepare question sets, define option-level misconceptions, and select evidence and prerequisites for their courses. The application currently serves the learner-facing practice workflow. A content team prepares or converts question sets into the supported format; arbitrary raw files are not automatically imported.</w:t>
      </w:r>
    </w:p>
    <w:p w14:paraId="2A5E3ED2">
      <w:pPr>
        <w:spacing w:after="120" w:line="360" w:lineRule="auto"/>
      </w:pPr>
      <w:r>
        <w:rPr>
          <w:rFonts w:ascii="Times New Roman" w:hAnsi="Times New Roman" w:eastAsia="Times New Roman"/>
          <w:sz w:val="24"/>
        </w:rPr>
        <w:t>Educators and instructional designers define learning objectives and prepare questions, while institutions and education providers select how the practice workflow fits their teaching environment. These stakeholders shape the content and deployment; learners remain the primary users of the current application.</w:t>
      </w:r>
    </w:p>
    <w:p w14:paraId="753C024F">
      <w:pPr>
        <w:pStyle w:val="15"/>
        <w:spacing w:after="120" w:line="360" w:lineRule="auto"/>
        <w:jc w:val="center"/>
      </w:pPr>
      <w:r>
        <w:rPr>
          <w:rFonts w:ascii="Times New Roman" w:hAnsi="Times New Roman" w:eastAsia="Times New Roman"/>
          <w:sz w:val="24"/>
        </w:rPr>
        <w:t>Table 1.3 Intended users and stakeholders</w:t>
      </w:r>
    </w:p>
    <w:tbl>
      <w:tblPr>
        <w:tblStyle w:val="32"/>
        <w:tblW w:w="0" w:type="auto"/>
        <w:jc w:val="center"/>
        <w:tblLayout w:type="autofit"/>
        <w:tblCellMar>
          <w:top w:w="0" w:type="dxa"/>
          <w:left w:w="108" w:type="dxa"/>
          <w:bottom w:w="0" w:type="dxa"/>
          <w:right w:w="108" w:type="dxa"/>
        </w:tblCellMar>
      </w:tblPr>
      <w:tblGrid>
        <w:gridCol w:w="3010"/>
        <w:gridCol w:w="3010"/>
        <w:gridCol w:w="3010"/>
      </w:tblGrid>
      <w:tr w14:paraId="3CEE4615">
        <w:tblPrEx>
          <w:tblCellMar>
            <w:top w:w="0" w:type="dxa"/>
            <w:left w:w="108" w:type="dxa"/>
            <w:bottom w:w="0" w:type="dxa"/>
            <w:right w:w="108" w:type="dxa"/>
          </w:tblCellMar>
        </w:tblPrEx>
        <w:trPr>
          <w:cantSplit/>
          <w:jc w:val="center"/>
        </w:trPr>
        <w:tc>
          <w:tcPr>
            <w:tcW w:w="301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24476B"/>
            <w:vAlign w:val="center"/>
          </w:tcPr>
          <w:p w14:paraId="5AF3F7D8">
            <w:pPr>
              <w:spacing w:before="60" w:after="60" w:line="276" w:lineRule="auto"/>
            </w:pPr>
            <w:r>
              <w:rPr>
                <w:rFonts w:ascii="Times New Roman" w:hAnsi="Times New Roman" w:eastAsia="Times New Roman"/>
                <w:b/>
                <w:color w:val="FFFFFF"/>
                <w:sz w:val="19"/>
              </w:rPr>
              <w:t>User / stakeholder</w:t>
            </w:r>
          </w:p>
        </w:tc>
        <w:tc>
          <w:tcPr>
            <w:tcW w:w="301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24476B"/>
            <w:vAlign w:val="center"/>
          </w:tcPr>
          <w:p w14:paraId="1F399500">
            <w:pPr>
              <w:spacing w:before="60" w:after="60" w:line="276" w:lineRule="auto"/>
            </w:pPr>
            <w:r>
              <w:rPr>
                <w:rFonts w:ascii="Times New Roman" w:hAnsi="Times New Roman" w:eastAsia="Times New Roman"/>
                <w:b/>
                <w:color w:val="FFFFFF"/>
                <w:sz w:val="19"/>
              </w:rPr>
              <w:t>Goal</w:t>
            </w:r>
          </w:p>
        </w:tc>
        <w:tc>
          <w:tcPr>
            <w:tcW w:w="301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24476B"/>
            <w:vAlign w:val="center"/>
          </w:tcPr>
          <w:p w14:paraId="58E0BAFB">
            <w:pPr>
              <w:spacing w:before="60" w:after="60" w:line="276" w:lineRule="auto"/>
            </w:pPr>
            <w:r>
              <w:rPr>
                <w:rFonts w:ascii="Times New Roman" w:hAnsi="Times New Roman" w:eastAsia="Times New Roman"/>
                <w:b/>
                <w:color w:val="FFFFFF"/>
                <w:sz w:val="19"/>
              </w:rPr>
              <w:t>StudyGraph value</w:t>
            </w:r>
          </w:p>
        </w:tc>
      </w:tr>
      <w:tr w14:paraId="172F6008">
        <w:tblPrEx>
          <w:tblCellMar>
            <w:top w:w="0" w:type="dxa"/>
            <w:left w:w="108" w:type="dxa"/>
            <w:bottom w:w="0" w:type="dxa"/>
            <w:right w:w="108" w:type="dxa"/>
          </w:tblCellMar>
        </w:tblPrEx>
        <w:trPr>
          <w:cantSplit/>
          <w:jc w:val="center"/>
        </w:trPr>
        <w:tc>
          <w:tcPr>
            <w:tcW w:w="301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C8F4BB7">
            <w:pPr>
              <w:spacing w:before="60" w:after="60" w:line="276" w:lineRule="auto"/>
            </w:pPr>
            <w:r>
              <w:rPr>
                <w:rFonts w:ascii="Times New Roman" w:hAnsi="Times New Roman" w:eastAsia="Times New Roman"/>
                <w:b w:val="0"/>
                <w:sz w:val="19"/>
              </w:rPr>
              <w:t>Independent learner</w:t>
            </w:r>
          </w:p>
        </w:tc>
        <w:tc>
          <w:tcPr>
            <w:tcW w:w="301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21AB77AD">
            <w:pPr>
              <w:spacing w:before="60" w:after="60" w:line="276" w:lineRule="auto"/>
            </w:pPr>
            <w:r>
              <w:rPr>
                <w:rFonts w:ascii="Times New Roman" w:hAnsi="Times New Roman" w:eastAsia="Times New Roman"/>
                <w:b w:val="0"/>
                <w:sz w:val="19"/>
              </w:rPr>
              <w:t>Practise a topic and decide what to review next</w:t>
            </w:r>
          </w:p>
        </w:tc>
        <w:tc>
          <w:tcPr>
            <w:tcW w:w="301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9B5AF44">
            <w:pPr>
              <w:spacing w:before="60" w:after="60" w:line="276" w:lineRule="auto"/>
            </w:pPr>
            <w:r>
              <w:rPr>
                <w:rFonts w:ascii="Times New Roman" w:hAnsi="Times New Roman" w:eastAsia="Times New Roman"/>
                <w:b w:val="0"/>
                <w:sz w:val="19"/>
              </w:rPr>
              <w:t>Option-specific diagnosis, evidence, and a linked prerequisite</w:t>
            </w:r>
          </w:p>
        </w:tc>
      </w:tr>
      <w:tr w14:paraId="2CA1D552">
        <w:tblPrEx>
          <w:tblCellMar>
            <w:top w:w="0" w:type="dxa"/>
            <w:left w:w="108" w:type="dxa"/>
            <w:bottom w:w="0" w:type="dxa"/>
            <w:right w:w="108" w:type="dxa"/>
          </w:tblCellMar>
        </w:tblPrEx>
        <w:trPr>
          <w:cantSplit/>
          <w:jc w:val="center"/>
        </w:trPr>
        <w:tc>
          <w:tcPr>
            <w:tcW w:w="301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1F5F9"/>
            <w:vAlign w:val="center"/>
          </w:tcPr>
          <w:p w14:paraId="0310268C">
            <w:pPr>
              <w:spacing w:before="60" w:after="60" w:line="276" w:lineRule="auto"/>
            </w:pPr>
            <w:r>
              <w:rPr>
                <w:rFonts w:ascii="Times New Roman" w:hAnsi="Times New Roman" w:eastAsia="Times New Roman"/>
                <w:b w:val="0"/>
                <w:sz w:val="19"/>
              </w:rPr>
              <w:t>Learner seeking guidance</w:t>
            </w:r>
          </w:p>
        </w:tc>
        <w:tc>
          <w:tcPr>
            <w:tcW w:w="301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1F5F9"/>
            <w:vAlign w:val="center"/>
          </w:tcPr>
          <w:p w14:paraId="64C41E0A">
            <w:pPr>
              <w:spacing w:before="60" w:after="60" w:line="276" w:lineRule="auto"/>
            </w:pPr>
            <w:r>
              <w:rPr>
                <w:rFonts w:ascii="Times New Roman" w:hAnsi="Times New Roman" w:eastAsia="Times New Roman"/>
                <w:b w:val="0"/>
                <w:sz w:val="19"/>
              </w:rPr>
              <w:t>Work through difficulty without seeing the full answer immediately</w:t>
            </w:r>
          </w:p>
        </w:tc>
        <w:tc>
          <w:tcPr>
            <w:tcW w:w="301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1F5F9"/>
            <w:vAlign w:val="center"/>
          </w:tcPr>
          <w:p w14:paraId="5CDF2D93">
            <w:pPr>
              <w:spacing w:before="60" w:after="60" w:line="276" w:lineRule="auto"/>
            </w:pPr>
            <w:r>
              <w:rPr>
                <w:rFonts w:ascii="Times New Roman" w:hAnsi="Times New Roman" w:eastAsia="Times New Roman"/>
                <w:b w:val="0"/>
                <w:sz w:val="19"/>
              </w:rPr>
              <w:t>Learner-controlled hints, guided prompts, and an explanation when requested</w:t>
            </w:r>
          </w:p>
        </w:tc>
      </w:tr>
      <w:tr w14:paraId="46B9B656">
        <w:tblPrEx>
          <w:tblCellMar>
            <w:top w:w="0" w:type="dxa"/>
            <w:left w:w="108" w:type="dxa"/>
            <w:bottom w:w="0" w:type="dxa"/>
            <w:right w:w="108" w:type="dxa"/>
          </w:tblCellMar>
        </w:tblPrEx>
        <w:trPr>
          <w:cantSplit/>
          <w:jc w:val="center"/>
        </w:trPr>
        <w:tc>
          <w:tcPr>
            <w:tcW w:w="301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3CE19CF">
            <w:pPr>
              <w:spacing w:before="60" w:after="60" w:line="276" w:lineRule="auto"/>
            </w:pPr>
            <w:r>
              <w:rPr>
                <w:rFonts w:ascii="Times New Roman" w:hAnsi="Times New Roman" w:eastAsia="Times New Roman"/>
                <w:b w:val="0"/>
                <w:sz w:val="19"/>
              </w:rPr>
              <w:t>Educator or content designer</w:t>
            </w:r>
          </w:p>
        </w:tc>
        <w:tc>
          <w:tcPr>
            <w:tcW w:w="301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020513BA">
            <w:pPr>
              <w:spacing w:before="60" w:after="60" w:line="276" w:lineRule="auto"/>
            </w:pPr>
            <w:r>
              <w:rPr>
                <w:rFonts w:ascii="Times New Roman" w:hAnsi="Times New Roman" w:eastAsia="Times New Roman"/>
                <w:b w:val="0"/>
                <w:sz w:val="19"/>
              </w:rPr>
              <w:t>Build question sets that reflect a course's concepts and common errors</w:t>
            </w:r>
          </w:p>
        </w:tc>
        <w:tc>
          <w:tcPr>
            <w:tcW w:w="301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6FEAA17">
            <w:pPr>
              <w:spacing w:before="60" w:after="60" w:line="276" w:lineRule="auto"/>
            </w:pPr>
            <w:r>
              <w:rPr>
                <w:rFonts w:ascii="Times New Roman" w:hAnsi="Times New Roman" w:eastAsia="Times New Roman"/>
                <w:b w:val="0"/>
                <w:sz w:val="19"/>
              </w:rPr>
              <w:t>A structured content model that links questions, options, evidence, prerequisites, and topic graphs</w:t>
            </w:r>
          </w:p>
        </w:tc>
      </w:tr>
      <w:tr w14:paraId="08D5D736">
        <w:tblPrEx>
          <w:tblCellMar>
            <w:top w:w="0" w:type="dxa"/>
            <w:left w:w="108" w:type="dxa"/>
            <w:bottom w:w="0" w:type="dxa"/>
            <w:right w:w="108" w:type="dxa"/>
          </w:tblCellMar>
        </w:tblPrEx>
        <w:trPr>
          <w:cantSplit/>
          <w:jc w:val="center"/>
        </w:trPr>
        <w:tc>
          <w:tcPr>
            <w:tcW w:w="301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1F5F9"/>
            <w:vAlign w:val="center"/>
          </w:tcPr>
          <w:p w14:paraId="34325511">
            <w:pPr>
              <w:spacing w:before="60" w:after="60" w:line="276" w:lineRule="auto"/>
            </w:pPr>
            <w:r>
              <w:rPr>
                <w:rFonts w:ascii="Times New Roman" w:hAnsi="Times New Roman" w:eastAsia="Times New Roman"/>
                <w:b w:val="0"/>
                <w:sz w:val="19"/>
              </w:rPr>
              <w:t>University or education provider</w:t>
            </w:r>
          </w:p>
        </w:tc>
        <w:tc>
          <w:tcPr>
            <w:tcW w:w="301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1F5F9"/>
            <w:vAlign w:val="center"/>
          </w:tcPr>
          <w:p w14:paraId="5E14E492">
            <w:pPr>
              <w:spacing w:before="60" w:after="60" w:line="276" w:lineRule="auto"/>
            </w:pPr>
            <w:r>
              <w:rPr>
                <w:rFonts w:ascii="Times New Roman" w:hAnsi="Times New Roman" w:eastAsia="Times New Roman"/>
                <w:b w:val="0"/>
                <w:sz w:val="19"/>
              </w:rPr>
              <w:t>Offer consistent formative practice across subjects</w:t>
            </w:r>
          </w:p>
        </w:tc>
        <w:tc>
          <w:tcPr>
            <w:tcW w:w="301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1F5F9"/>
            <w:vAlign w:val="center"/>
          </w:tcPr>
          <w:p w14:paraId="4B77AFBE">
            <w:pPr>
              <w:spacing w:before="60" w:after="60" w:line="276" w:lineRule="auto"/>
            </w:pPr>
            <w:r>
              <w:rPr>
                <w:rFonts w:ascii="Times New Roman" w:hAnsi="Times New Roman" w:eastAsia="Times New Roman"/>
                <w:b w:val="0"/>
                <w:sz w:val="19"/>
              </w:rPr>
              <w:t>Reusable software with local deployment and institution-specific content packages</w:t>
            </w:r>
          </w:p>
        </w:tc>
      </w:tr>
    </w:tbl>
    <w:p w14:paraId="0282BCB5">
      <w:pPr>
        <w:spacing w:after="40"/>
      </w:pPr>
    </w:p>
    <w:p w14:paraId="487C8BA8">
      <w:pPr>
        <w:pStyle w:val="15"/>
        <w:spacing w:after="120" w:line="360" w:lineRule="auto"/>
        <w:jc w:val="center"/>
      </w:pPr>
      <w:r>
        <w:rPr>
          <w:rFonts w:ascii="Times New Roman" w:hAnsi="Times New Roman" w:eastAsia="Times New Roman"/>
          <w:sz w:val="24"/>
        </w:rPr>
        <w:t>Figure 1.1 StudyGraph value proposition canvas</w:t>
      </w:r>
    </w:p>
    <w:p w14:paraId="3BF8BE66">
      <w:pPr>
        <w:keepNext/>
        <w:spacing w:before="80" w:after="60"/>
        <w:jc w:val="center"/>
      </w:pPr>
      <w:r>
        <w:drawing>
          <wp:inline distT="0" distB="0" distL="114300" distR="114300">
            <wp:extent cx="5715000" cy="312991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129945"/>
                    </a:xfrm>
                    <a:prstGeom prst="rect">
                      <a:avLst/>
                    </a:prstGeom>
                  </pic:spPr>
                </pic:pic>
              </a:graphicData>
            </a:graphic>
          </wp:inline>
        </w:drawing>
      </w:r>
    </w:p>
    <w:p w14:paraId="003DEAAC">
      <w:pPr>
        <w:keepLines/>
        <w:spacing w:after="160"/>
        <w:jc w:val="center"/>
      </w:pPr>
      <w:r>
        <w:rPr>
          <w:rFonts w:ascii="Times New Roman" w:hAnsi="Times New Roman" w:eastAsia="Times New Roman"/>
          <w:i/>
          <w:sz w:val="20"/>
        </w:rPr>
        <w:t>Figure 1.1. StudyGraph value proposition canvas.</w:t>
      </w:r>
    </w:p>
    <w:p w14:paraId="3D701B23">
      <w:pPr>
        <w:pStyle w:val="3"/>
        <w:keepNext/>
      </w:pPr>
      <w:r>
        <w:rPr>
          <w:rFonts w:ascii="Times New Roman" w:hAnsi="Times New Roman" w:eastAsia="Times New Roman"/>
          <w:b/>
          <w:sz w:val="24"/>
        </w:rPr>
        <w:t>1.5 Project objectives</w:t>
      </w:r>
    </w:p>
    <w:p w14:paraId="775A5CE9">
      <w:pPr>
        <w:spacing w:after="120" w:line="360" w:lineRule="auto"/>
      </w:pPr>
      <w:r>
        <w:rPr>
          <w:rFonts w:ascii="Times New Roman" w:hAnsi="Times New Roman" w:eastAsia="Times New Roman"/>
          <w:sz w:val="24"/>
        </w:rPr>
        <w:t>The project has five objectives that guide the design, implementation, and evaluation of StudyGraph.</w:t>
      </w:r>
    </w:p>
    <w:p w14:paraId="7C6BFE75">
      <w:pPr>
        <w:pStyle w:val="15"/>
        <w:spacing w:after="120" w:line="360" w:lineRule="auto"/>
        <w:jc w:val="center"/>
      </w:pPr>
      <w:r>
        <w:rPr>
          <w:rFonts w:ascii="Times New Roman" w:hAnsi="Times New Roman" w:eastAsia="Times New Roman"/>
          <w:sz w:val="24"/>
        </w:rPr>
        <w:t>Table 1.2 Project objectives</w:t>
      </w:r>
    </w:p>
    <w:tbl>
      <w:tblPr>
        <w:tblStyle w:val="32"/>
        <w:tblW w:w="0" w:type="auto"/>
        <w:jc w:val="center"/>
        <w:tblLayout w:type="autofit"/>
        <w:tblCellMar>
          <w:top w:w="0" w:type="dxa"/>
          <w:left w:w="108" w:type="dxa"/>
          <w:bottom w:w="0" w:type="dxa"/>
          <w:right w:w="108" w:type="dxa"/>
        </w:tblCellMar>
      </w:tblPr>
      <w:tblGrid>
        <w:gridCol w:w="4514"/>
        <w:gridCol w:w="4514"/>
      </w:tblGrid>
      <w:tr w14:paraId="54F057D2">
        <w:tblPrEx>
          <w:tblCellMar>
            <w:top w:w="0" w:type="dxa"/>
            <w:left w:w="108" w:type="dxa"/>
            <w:bottom w:w="0" w:type="dxa"/>
            <w:right w:w="108" w:type="dxa"/>
          </w:tblCellMar>
        </w:tblPrEx>
        <w:trPr>
          <w:cantSplit/>
          <w:jc w:val="center"/>
        </w:trPr>
        <w:tc>
          <w:tcPr>
            <w:tcW w:w="4514"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24476B"/>
            <w:vAlign w:val="center"/>
          </w:tcPr>
          <w:p w14:paraId="3E4A8ADC">
            <w:pPr>
              <w:spacing w:before="60" w:after="60" w:line="276" w:lineRule="auto"/>
            </w:pPr>
            <w:r>
              <w:rPr>
                <w:rFonts w:ascii="Times New Roman" w:hAnsi="Times New Roman" w:eastAsia="Times New Roman"/>
                <w:b/>
                <w:color w:val="FFFFFF"/>
                <w:sz w:val="19"/>
              </w:rPr>
              <w:t>No.</w:t>
            </w:r>
          </w:p>
        </w:tc>
        <w:tc>
          <w:tcPr>
            <w:tcW w:w="4514"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24476B"/>
            <w:vAlign w:val="center"/>
          </w:tcPr>
          <w:p w14:paraId="0B5F8763">
            <w:pPr>
              <w:spacing w:before="60" w:after="60" w:line="276" w:lineRule="auto"/>
            </w:pPr>
            <w:r>
              <w:rPr>
                <w:rFonts w:ascii="Times New Roman" w:hAnsi="Times New Roman" w:eastAsia="Times New Roman"/>
                <w:b/>
                <w:color w:val="FFFFFF"/>
                <w:sz w:val="19"/>
              </w:rPr>
              <w:t>Project objective</w:t>
            </w:r>
          </w:p>
        </w:tc>
      </w:tr>
      <w:tr w14:paraId="670EF072">
        <w:tblPrEx>
          <w:tblCellMar>
            <w:top w:w="0" w:type="dxa"/>
            <w:left w:w="108" w:type="dxa"/>
            <w:bottom w:w="0" w:type="dxa"/>
            <w:right w:w="108" w:type="dxa"/>
          </w:tblCellMar>
        </w:tblPrEx>
        <w:trPr>
          <w:cantSplit/>
          <w:jc w:val="center"/>
        </w:trPr>
        <w:tc>
          <w:tcPr>
            <w:tcW w:w="4514"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E482117">
            <w:pPr>
              <w:spacing w:before="60" w:after="60" w:line="276" w:lineRule="auto"/>
            </w:pPr>
            <w:r>
              <w:rPr>
                <w:rFonts w:ascii="Times New Roman" w:hAnsi="Times New Roman" w:eastAsia="Times New Roman"/>
                <w:b w:val="0"/>
                <w:sz w:val="19"/>
              </w:rPr>
              <w:t>1</w:t>
            </w:r>
          </w:p>
        </w:tc>
        <w:tc>
          <w:tcPr>
            <w:tcW w:w="4514"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2B153E5">
            <w:pPr>
              <w:spacing w:before="60" w:after="60" w:line="276" w:lineRule="auto"/>
            </w:pPr>
            <w:r>
              <w:rPr>
                <w:rFonts w:ascii="Times New Roman" w:hAnsi="Times New Roman" w:eastAsia="Times New Roman"/>
                <w:b w:val="0"/>
                <w:sz w:val="19"/>
              </w:rPr>
              <w:t>Deliver a runnable StudyGraph application by 14 December 2026, supporting question practice, option-level diagnosis, staged help, evidence inspection, knowledge-graph navigation, and learning history.</w:t>
            </w:r>
          </w:p>
        </w:tc>
      </w:tr>
      <w:tr w14:paraId="13EC039F">
        <w:tblPrEx>
          <w:tblCellMar>
            <w:top w:w="0" w:type="dxa"/>
            <w:left w:w="108" w:type="dxa"/>
            <w:bottom w:w="0" w:type="dxa"/>
            <w:right w:w="108" w:type="dxa"/>
          </w:tblCellMar>
        </w:tblPrEx>
        <w:trPr>
          <w:cantSplit/>
          <w:jc w:val="center"/>
        </w:trPr>
        <w:tc>
          <w:tcPr>
            <w:tcW w:w="4514"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1F5F9"/>
            <w:vAlign w:val="center"/>
          </w:tcPr>
          <w:p w14:paraId="53688B8F">
            <w:pPr>
              <w:spacing w:before="60" w:after="60" w:line="276" w:lineRule="auto"/>
            </w:pPr>
            <w:r>
              <w:rPr>
                <w:rFonts w:ascii="Times New Roman" w:hAnsi="Times New Roman" w:eastAsia="Times New Roman"/>
                <w:b w:val="0"/>
                <w:sz w:val="19"/>
              </w:rPr>
              <w:t>2</w:t>
            </w:r>
          </w:p>
        </w:tc>
        <w:tc>
          <w:tcPr>
            <w:tcW w:w="4514"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1F5F9"/>
            <w:vAlign w:val="center"/>
          </w:tcPr>
          <w:p w14:paraId="6B523E84">
            <w:pPr>
              <w:spacing w:before="60" w:after="60" w:line="276" w:lineRule="auto"/>
            </w:pPr>
            <w:r>
              <w:rPr>
                <w:rFonts w:ascii="Times New Roman" w:hAnsi="Times New Roman" w:eastAsia="Times New Roman"/>
                <w:b w:val="0"/>
                <w:sz w:val="19"/>
              </w:rPr>
              <w:t>Develop a source-traceable content set with at least 15 reviewed demonstration questions and a reproducible evaluation corpus.</w:t>
            </w:r>
          </w:p>
        </w:tc>
      </w:tr>
      <w:tr w14:paraId="10A3E14F">
        <w:tblPrEx>
          <w:tblCellMar>
            <w:top w:w="0" w:type="dxa"/>
            <w:left w:w="108" w:type="dxa"/>
            <w:bottom w:w="0" w:type="dxa"/>
            <w:right w:w="108" w:type="dxa"/>
          </w:tblCellMar>
        </w:tblPrEx>
        <w:trPr>
          <w:cantSplit/>
          <w:jc w:val="center"/>
        </w:trPr>
        <w:tc>
          <w:tcPr>
            <w:tcW w:w="4514"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CF7B67E">
            <w:pPr>
              <w:spacing w:before="60" w:after="60" w:line="276" w:lineRule="auto"/>
            </w:pPr>
            <w:r>
              <w:rPr>
                <w:rFonts w:ascii="Times New Roman" w:hAnsi="Times New Roman" w:eastAsia="Times New Roman"/>
                <w:b w:val="0"/>
                <w:sz w:val="19"/>
              </w:rPr>
              <w:t>3</w:t>
            </w:r>
          </w:p>
        </w:tc>
        <w:tc>
          <w:tcPr>
            <w:tcW w:w="4514"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4B44F6E8">
            <w:pPr>
              <w:spacing w:before="60" w:after="60" w:line="276" w:lineRule="auto"/>
            </w:pPr>
            <w:r>
              <w:rPr>
                <w:rFonts w:ascii="Times New Roman" w:hAnsi="Times New Roman" w:eastAsia="Times New Roman"/>
                <w:b w:val="0"/>
                <w:sz w:val="19"/>
              </w:rPr>
              <w:t>Compare a fixed baseline with an evidence-assisted configuration on the same held-out question IDs, reporting accuracy, invalid responses, evidence support, and latency.</w:t>
            </w:r>
          </w:p>
        </w:tc>
      </w:tr>
      <w:tr w14:paraId="172A82CF">
        <w:tblPrEx>
          <w:tblCellMar>
            <w:top w:w="0" w:type="dxa"/>
            <w:left w:w="108" w:type="dxa"/>
            <w:bottom w:w="0" w:type="dxa"/>
            <w:right w:w="108" w:type="dxa"/>
          </w:tblCellMar>
        </w:tblPrEx>
        <w:trPr>
          <w:cantSplit/>
          <w:jc w:val="center"/>
        </w:trPr>
        <w:tc>
          <w:tcPr>
            <w:tcW w:w="4514"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1F5F9"/>
            <w:vAlign w:val="center"/>
          </w:tcPr>
          <w:p w14:paraId="230DA9EB">
            <w:pPr>
              <w:spacing w:before="60" w:after="60" w:line="276" w:lineRule="auto"/>
            </w:pPr>
            <w:r>
              <w:rPr>
                <w:rFonts w:ascii="Times New Roman" w:hAnsi="Times New Roman" w:eastAsia="Times New Roman"/>
                <w:b w:val="0"/>
                <w:sz w:val="19"/>
              </w:rPr>
              <w:t>4</w:t>
            </w:r>
          </w:p>
        </w:tc>
        <w:tc>
          <w:tcPr>
            <w:tcW w:w="4514"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1F5F9"/>
            <w:vAlign w:val="center"/>
          </w:tcPr>
          <w:p w14:paraId="58AB7618">
            <w:pPr>
              <w:spacing w:before="60" w:after="60" w:line="276" w:lineRule="auto"/>
            </w:pPr>
            <w:r>
              <w:rPr>
                <w:rFonts w:ascii="Times New Roman" w:hAnsi="Times New Roman" w:eastAsia="Times New Roman"/>
                <w:b w:val="0"/>
                <w:sz w:val="19"/>
              </w:rPr>
              <w:t>Verify functional and non-functional requirements through automated tests, responsive browser checks, and installation on a clean environment.</w:t>
            </w:r>
          </w:p>
        </w:tc>
      </w:tr>
      <w:tr w14:paraId="2D18479B">
        <w:tblPrEx>
          <w:tblCellMar>
            <w:top w:w="0" w:type="dxa"/>
            <w:left w:w="108" w:type="dxa"/>
            <w:bottom w:w="0" w:type="dxa"/>
            <w:right w:w="108" w:type="dxa"/>
          </w:tblCellMar>
        </w:tblPrEx>
        <w:trPr>
          <w:cantSplit/>
          <w:jc w:val="center"/>
        </w:trPr>
        <w:tc>
          <w:tcPr>
            <w:tcW w:w="4514"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4480EE9A">
            <w:pPr>
              <w:spacing w:before="60" w:after="60" w:line="276" w:lineRule="auto"/>
            </w:pPr>
            <w:r>
              <w:rPr>
                <w:rFonts w:ascii="Times New Roman" w:hAnsi="Times New Roman" w:eastAsia="Times New Roman"/>
                <w:b w:val="0"/>
                <w:sz w:val="19"/>
              </w:rPr>
              <w:t>5</w:t>
            </w:r>
          </w:p>
        </w:tc>
        <w:tc>
          <w:tcPr>
            <w:tcW w:w="4514"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254833F5">
            <w:pPr>
              <w:spacing w:before="60" w:after="60" w:line="276" w:lineRule="auto"/>
            </w:pPr>
            <w:r>
              <w:rPr>
                <w:rFonts w:ascii="Times New Roman" w:hAnsi="Times New Roman" w:eastAsia="Times New Roman"/>
                <w:b w:val="0"/>
                <w:sz w:val="19"/>
              </w:rPr>
              <w:t>Deliver the technical report, runnable software package, 8–12 page user manual, and 15-minute presentation.</w:t>
            </w:r>
          </w:p>
        </w:tc>
      </w:tr>
    </w:tbl>
    <w:p w14:paraId="716FED3F">
      <w:pPr>
        <w:spacing w:after="40"/>
      </w:pPr>
    </w:p>
    <w:p w14:paraId="5A1C2135">
      <w:pPr>
        <w:pStyle w:val="3"/>
        <w:keepNext/>
      </w:pPr>
      <w:r>
        <w:rPr>
          <w:rFonts w:ascii="Times New Roman" w:hAnsi="Times New Roman" w:eastAsia="Times New Roman"/>
          <w:b/>
          <w:sz w:val="24"/>
        </w:rPr>
        <w:t>1.6 Main features, practical and business value</w:t>
      </w:r>
    </w:p>
    <w:p w14:paraId="19558BEA">
      <w:pPr>
        <w:spacing w:after="120" w:line="360" w:lineRule="auto"/>
      </w:pPr>
      <w:r>
        <w:rPr>
          <w:rFonts w:ascii="Times New Roman" w:hAnsi="Times New Roman" w:eastAsia="Times New Roman"/>
          <w:sz w:val="24"/>
        </w:rPr>
        <w:t>Our system brings together domain filtering, multiple-choice practice, option-level misconception diagnosis, first-level hints, guided tutoring, evidence inspection, a question-specific knowledge graph, and local learning history. Its five practice dimensions—conceptual recall, prerequisite reasoning, misconception recognition, procedural accuracy, and cross-topic reasoning—organise the types of question represented in the content set. Together, these features turn an answer into a structured feedback path: the learner can identify the concept to revisit, inspect the relevant evidence, and return to practice.</w:t>
      </w:r>
    </w:p>
    <w:p w14:paraId="5BB3D191">
      <w:pPr>
        <w:spacing w:after="120" w:line="360" w:lineRule="auto"/>
      </w:pPr>
      <w:r>
        <w:rPr>
          <w:rFonts w:ascii="Times New Roman" w:hAnsi="Times New Roman" w:eastAsia="Times New Roman"/>
          <w:sz w:val="24"/>
        </w:rPr>
        <w:t>In practice, we provide a self-study and formative-learning workflow that runs with locally packaged content and does not depend on an external model for its core functions. Learners receive consistent, option-specific feedback at their own pace. Educators can organise questions around course concepts and prerequisites, review the evidence behind a diagnosis, and extend the workflow to further subjects by preparing compatible content. The system thus supports repeatable practice while leaving educators in control of the instructional material.</w:t>
      </w:r>
    </w:p>
    <w:p w14:paraId="560C0C09">
      <w:pPr>
        <w:spacing w:after="120" w:line="360" w:lineRule="auto"/>
      </w:pPr>
      <w:r>
        <w:rPr>
          <w:rFonts w:ascii="Times New Roman" w:hAnsi="Times New Roman" w:eastAsia="Times New Roman"/>
          <w:sz w:val="24"/>
        </w:rPr>
        <w:t>Our business value comes from combining reusable software with institution-specific content. One platform can support multiple courses, while universities, tutoring providers, and education technology companies can tailor question banks to their own curricula. Potential delivery models include institutional licensing, branded deployments, question-bank conversion, and ongoing content-maintenance services. This creates value for organisations that need a consistent practice experience across courses without commissioning a separate application for every subject.</w:t>
      </w:r>
    </w:p>
    <w:p w14:paraId="19643C78">
      <w:pPr>
        <w:spacing w:after="120" w:line="360" w:lineRule="auto"/>
      </w:pPr>
      <w:r>
        <w:rPr>
          <w:rFonts w:ascii="Times New Roman" w:hAnsi="Times New Roman" w:eastAsia="Times New Roman"/>
          <w:sz w:val="24"/>
        </w:rPr>
        <w:t>The content-led model provides a clear route for growth: begin with a well-defined subject bank, then add reviewed content packages for other fields as demand develops. The commercial opportunity will depend on content quality, integration with existing learning platforms, and sustained use by learners and educators. These are practical conditions for scaling the product, rather than reasons to limit its intended audience.</w:t>
      </w:r>
    </w:p>
    <w:p w14:paraId="4646CB45">
      <w:pPr>
        <w:pStyle w:val="3"/>
      </w:pPr>
      <w:r>
        <w:rPr>
          <w:rFonts w:ascii="Times New Roman" w:hAnsi="Times New Roman" w:eastAsia="Times New Roman"/>
          <w:b/>
          <w:sz w:val="24"/>
        </w:rPr>
        <w:t>References</w:t>
      </w:r>
    </w:p>
    <w:p w14:paraId="2587CD30">
      <w:pPr>
        <w:spacing w:after="120" w:line="360" w:lineRule="auto"/>
      </w:pPr>
      <w:r>
        <w:rPr>
          <w:rFonts w:ascii="Times New Roman" w:hAnsi="Times New Roman" w:eastAsia="Times New Roman"/>
          <w:sz w:val="24"/>
        </w:rPr>
        <w:t>Anki (n.d.) Anki: powerful, intelligent flashcards. Available at: https://apps.ankiweb.net/ (Accessed: 23 October 2026).</w:t>
      </w:r>
    </w:p>
    <w:p w14:paraId="3C4C2FF3">
      <w:pPr>
        <w:spacing w:after="120" w:line="360" w:lineRule="auto"/>
      </w:pPr>
      <w:r>
        <w:rPr>
          <w:rFonts w:ascii="Times New Roman" w:hAnsi="Times New Roman" w:eastAsia="Times New Roman"/>
          <w:sz w:val="24"/>
        </w:rPr>
        <w:t>Corbett, A.T. and Anderson, J.R. (1995) “Knowledge tracing: Modeling the acquisition of procedural knowledge”, User Modeling and User-Adapted Interaction, 4(4), pp. 253–278. doi: 10.1007/BF01099821.</w:t>
      </w:r>
      <w:bookmarkStart w:id="0" w:name="_GoBack"/>
      <w:bookmarkEnd w:id="0"/>
    </w:p>
    <w:p w14:paraId="2DC89EC7">
      <w:pPr>
        <w:spacing w:after="120" w:line="360" w:lineRule="auto"/>
      </w:pPr>
      <w:r>
        <w:rPr>
          <w:rFonts w:ascii="Times New Roman" w:hAnsi="Times New Roman" w:eastAsia="Times New Roman"/>
          <w:sz w:val="24"/>
        </w:rPr>
        <w:t>Hattie, J. and Timperley, H. (2007) “The power of feedback”, Review of Educational Research, 77(1), pp. 81–112. doi: 10.3102/003465430298487.</w:t>
      </w:r>
    </w:p>
    <w:p w14:paraId="210F3360">
      <w:pPr>
        <w:spacing w:after="120" w:line="360" w:lineRule="auto"/>
      </w:pPr>
      <w:r>
        <w:rPr>
          <w:rFonts w:ascii="Times New Roman" w:hAnsi="Times New Roman" w:eastAsia="Times New Roman"/>
          <w:sz w:val="24"/>
        </w:rPr>
        <w:t>Khan Academy (n.d.) Meet Khanmigo: Khan Academy’s AI-powered teaching assistant and tutor. Available at: https://www.khanacademy.org/khan-labs (Accessed: 23 October 2026).</w:t>
      </w:r>
    </w:p>
    <w:p w14:paraId="686D06EF">
      <w:pPr>
        <w:spacing w:after="120" w:line="360" w:lineRule="auto"/>
      </w:pPr>
      <w:r>
        <w:rPr>
          <w:rFonts w:ascii="Times New Roman" w:hAnsi="Times New Roman" w:eastAsia="Times New Roman"/>
          <w:sz w:val="24"/>
        </w:rPr>
        <w:t>Kulik, J.A. and Fletcher, J.D. (2016) “Effectiveness of intelligent tutoring systems: A meta-analytic review”, Review of Educational Research, 86(1), pp. 42–78. doi: 10.3102/0034654315581420.</w:t>
      </w:r>
    </w:p>
    <w:p w14:paraId="6C5950DF">
      <w:pPr>
        <w:spacing w:after="120" w:line="360" w:lineRule="auto"/>
      </w:pPr>
      <w:r>
        <w:rPr>
          <w:rFonts w:ascii="Times New Roman" w:hAnsi="Times New Roman" w:eastAsia="Times New Roman"/>
          <w:sz w:val="24"/>
        </w:rPr>
        <w:t>Lewis, P. et al. (2020) “Retrieval-augmented generation for knowledge-intensive NLP tasks”, Advances in Neural Information Processing Systems, 33, pp. 9459–9474. Available at: https://arxiv.org/abs/2005.11401.</w:t>
      </w:r>
    </w:p>
    <w:p w14:paraId="6C2907FA">
      <w:pPr>
        <w:spacing w:after="120" w:line="360" w:lineRule="auto"/>
      </w:pPr>
      <w:r>
        <w:rPr>
          <w:rFonts w:ascii="Times New Roman" w:hAnsi="Times New Roman" w:eastAsia="Times New Roman"/>
          <w:sz w:val="24"/>
        </w:rPr>
        <w:t>OpenAI (n.d.) Using study mode in ChatGPT. Available at: https://help.openai.com/en/articles/11780217-using-study-mode-in-chatgpt (Accessed: 23 October 2026).</w:t>
      </w:r>
    </w:p>
    <w:p w14:paraId="46B9B4DB">
      <w:pPr>
        <w:spacing w:after="120" w:line="360" w:lineRule="auto"/>
      </w:pPr>
      <w:r>
        <w:rPr>
          <w:rFonts w:ascii="Times New Roman" w:hAnsi="Times New Roman" w:eastAsia="Times New Roman"/>
          <w:sz w:val="24"/>
        </w:rPr>
        <w:t>Quizlet (n.d.) Studying with Practice Tests. Available at: https://help.quizlet.com/hc/en-us/articles/25946589648013-Studying-with-Practice-Tests (Accessed: 23 October 2026).</w:t>
      </w:r>
    </w:p>
    <w:p w14:paraId="4D55C5BC">
      <w:pPr>
        <w:spacing w:after="120" w:line="360" w:lineRule="auto"/>
      </w:pPr>
      <w:r>
        <w:rPr>
          <w:rFonts w:ascii="Times New Roman" w:hAnsi="Times New Roman" w:eastAsia="Times New Roman"/>
          <w:sz w:val="24"/>
        </w:rPr>
        <w:t>Roediger, H.L. and Karpicke, J.D. (2006) “Test-enhanced learning: Taking memory tests improves long-term retention”, Psychological Science, 17(3), pp. 249–255. doi: 10.1111/j.1467-9280.2006.01693.x.</w:t>
      </w:r>
    </w:p>
    <w:p w14:paraId="65EB1EEF">
      <w:pPr>
        <w:spacing w:after="120" w:line="360" w:lineRule="auto"/>
      </w:pPr>
      <w:r>
        <w:rPr>
          <w:rFonts w:ascii="Times New Roman" w:hAnsi="Times New Roman" w:eastAsia="Times New Roman"/>
          <w:sz w:val="24"/>
        </w:rPr>
        <w:t>VanLehn, K. (2011) “The relative effectiveness of human tutoring, intelligent tutoring systems, and other tutoring systems”, Educational Psychologist, 46(4), pp. 197–221. doi: 10.1080/00461520.2011.611369.</w:t>
      </w:r>
    </w:p>
    <w:sectPr>
      <w:pgSz w:w="11909" w:h="16834"/>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C0840CF"/>
    <w:rsid w:val="5D2D6054"/>
    <w:rsid w:val="677D22D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Times New Roman" w:cstheme="minorBidi"/>
      <w:sz w:val="24"/>
      <w:szCs w:val="22"/>
      <w:lang w:val="en-US" w:eastAsia="en-US" w:bidi="ar-SA"/>
    </w:rPr>
  </w:style>
  <w:style w:type="paragraph" w:styleId="3">
    <w:name w:val="heading 1"/>
    <w:basedOn w:val="1"/>
    <w:next w:val="1"/>
    <w:link w:val="138"/>
    <w:qFormat/>
    <w:uiPriority w:val="9"/>
    <w:pPr>
      <w:keepNext/>
      <w:keepLines/>
      <w:spacing w:before="480" w:after="0" w:line="360" w:lineRule="auto"/>
      <w:outlineLvl w:val="0"/>
    </w:pPr>
    <w:rPr>
      <w:rFonts w:asciiTheme="majorHAnsi" w:hAnsiTheme="majorHAnsi" w:eastAsiaTheme="majorEastAsia" w:cstheme="majorBidi"/>
      <w:b/>
      <w:bCs/>
      <w:sz w:val="24"/>
      <w:szCs w:val="28"/>
    </w:rPr>
  </w:style>
  <w:style w:type="paragraph" w:styleId="4">
    <w:name w:val="heading 2"/>
    <w:basedOn w:val="1"/>
    <w:next w:val="1"/>
    <w:link w:val="139"/>
    <w:unhideWhenUsed/>
    <w:qFormat/>
    <w:uiPriority w:val="9"/>
    <w:pPr>
      <w:keepNext/>
      <w:keepLines/>
      <w:spacing w:before="200" w:after="0" w:line="360" w:lineRule="auto"/>
      <w:outlineLvl w:val="1"/>
    </w:pPr>
    <w:rPr>
      <w:rFonts w:asciiTheme="majorHAnsi" w:hAnsiTheme="majorHAnsi" w:eastAsiaTheme="majorEastAsia" w:cstheme="majorBidi"/>
      <w:b/>
      <w:bCs/>
      <w:sz w:val="24"/>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360" w:lineRule="auto"/>
    </w:pPr>
    <w:rPr>
      <w:rFonts w:ascii="Times New Roman" w:hAnsi="Times New Roman" w:eastAsia="Times New Roman"/>
      <w:b/>
      <w:bCs/>
      <w:sz w:val="24"/>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360" w:lineRule="auto"/>
      <w:contextualSpacing/>
    </w:pPr>
    <w:rPr>
      <w:rFonts w:asciiTheme="majorHAnsi" w:hAnsiTheme="majorHAnsi" w:eastAsiaTheme="majorEastAsia" w:cstheme="majorBidi"/>
      <w:b/>
      <w:spacing w:val="5"/>
      <w:kern w:val="28"/>
      <w:sz w:val="28"/>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2077</Words>
  <Characters>13409</Characters>
  <Lines>0</Lines>
  <Paragraphs>0</Paragraphs>
  <TotalTime>6</TotalTime>
  <ScaleCrop>false</ScaleCrop>
  <LinksUpToDate>false</LinksUpToDate>
  <CharactersWithSpaces>15383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哎呀哈</cp:lastModifiedBy>
  <dcterms:modified xsi:type="dcterms:W3CDTF">2026-10-24T18:58:11Z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E5DD674103DD4506995F284A434A9108_13</vt:lpwstr>
  </property>
  <property fmtid="{D5CDD505-2E9C-101B-9397-08002B2CF9AE}" pid="4" name="KSOTemplateDocerSaveRecord">
    <vt:lpwstr>eyJoZGlkIjoiNjlkMmVmNTk2ZGE0MjgxOGMxZTc0ZDRmZmEyOTE3ZTUiLCJ1c2VySWQiOiI1ODU5MDc1MjQifQ==</vt:lpwstr>
  </property>
</Properties>
</file>