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微软雅黑" w:hAnsi="微软雅黑" w:eastAsia="微软雅黑" w:cs="微软雅黑"/>
          <w:b/>
          <w:i w:val="0"/>
          <w:color w:val="1E3A8A"/>
          <w:sz w:val="28"/>
        </w:rPr>
        <w:t>JC2001 软件工程导论 (2026–27 学年)</w:t>
        <w:br/>
      </w:r>
      <w:r>
        <w:rPr>
          <w:rFonts w:ascii="微软雅黑" w:hAnsi="微软雅黑" w:eastAsia="微软雅黑" w:cs="微软雅黑"/>
          <w:b/>
          <w:i w:val="0"/>
          <w:color w:val="1B365D"/>
          <w:sz w:val="36"/>
        </w:rPr>
        <w:t>【第 1 周全员成果审阅与交付核对册】</w:t>
      </w:r>
    </w:p>
    <w:p>
      <w:pPr>
        <w:spacing w:before="60" w:after="200"/>
        <w:jc w:val="center"/>
      </w:pPr>
      <w:r>
        <w:rPr>
          <w:rFonts w:ascii="微软雅黑" w:hAnsi="微软雅黑" w:eastAsia="微软雅黑" w:cs="微软雅黑"/>
          <w:b w:val="0"/>
          <w:i/>
          <w:color w:val="4B5563"/>
          <w:sz w:val="19"/>
        </w:rPr>
        <w:t>项目选题：智能大学生备考与知识诊断辅导系统 (Smart Study Assistant System)</w:t>
        <w:br/>
        <w:t>专供 Group 5 全体 10 位同学内部传阅、任务核对与正式提交前签字确认</w:t>
      </w:r>
    </w:p>
    <w:tbl>
      <w:tblPr>
        <w:tblW w:type="auto" w:w="0"/>
        <w:jc w:val="center"/>
        <w:tblLook w:firstColumn="1" w:firstRow="1" w:lastColumn="0" w:lastRow="0" w:noHBand="0" w:noVBand="1" w:val="04A0"/>
        <w:tblBorders>
          <w:top w:val="single" w:sz="6" w:space="0" w:color="334155"/>
          <w:left w:val="none"/>
          <w:bottom w:val="single" w:sz="8" w:space="0" w:color="334155"/>
          <w:right w:val="none"/>
          <w:insideH w:val="single" w:sz="4" w:space="0" w:color="CBD5E1"/>
          <w:insideV w:val="none"/>
        </w:tblBorders>
        <w:tblCellMar>
          <w:top w:w="80" w:type="dxa"/>
          <w:bottom w:w="80" w:type="dxa"/>
          <w:left w:w="120" w:type="dxa"/>
          <w:right w:w="120" w:type="dxa"/>
        </w:tblCellMar>
      </w:tblPr>
      <w:tblGrid>
        <w:gridCol w:w="4801"/>
        <w:gridCol w:w="4801"/>
      </w:tblGrid>
      <w:tr>
        <w:trPr>
          <w:tblHeader/>
          <w:cantSplit/>
        </w:trPr>
        <w:tc>
          <w:tcPr>
            <w:tcW w:type="dxa" w:w="2880"/>
            <w:vAlign w:val="center"/>
            <w:shd w:fill="334155"/>
          </w:tcPr>
          <w:p>
            <w:pPr>
              <w:spacing w:before="40" w:after="40" w:line="276" w:lineRule="auto"/>
            </w:pPr>
            <w:r>
              <w:rPr>
                <w:rFonts w:ascii="微软雅黑" w:hAnsi="微软雅黑" w:eastAsia="微软雅黑" w:cs="微软雅黑"/>
                <w:b/>
                <w:i w:val="0"/>
                <w:color w:val="FFFFFF"/>
                <w:sz w:val="17"/>
              </w:rPr>
              <w:t>课程编号与名称</w:t>
            </w:r>
          </w:p>
        </w:tc>
        <w:tc>
          <w:tcPr>
            <w:tcW w:type="dxa" w:w="6480"/>
            <w:vAlign w:val="center"/>
            <w:shd w:fill="334155"/>
          </w:tcPr>
          <w:p>
            <w:pPr>
              <w:spacing w:before="40" w:after="40" w:line="276" w:lineRule="auto"/>
            </w:pPr>
            <w:r>
              <w:rPr>
                <w:rFonts w:ascii="微软雅黑" w:hAnsi="微软雅黑" w:eastAsia="微软雅黑" w:cs="微软雅黑"/>
                <w:b/>
                <w:i w:val="0"/>
                <w:color w:val="FFFFFF"/>
                <w:sz w:val="17"/>
              </w:rPr>
              <w:t>JC2001 Introduction to Software Engineering (2026–27)</w:t>
            </w:r>
          </w:p>
        </w:tc>
      </w:tr>
      <w:tr>
        <w:trPr>
          <w:cantSplit/>
        </w:trPr>
        <w:tc>
          <w:tcPr>
            <w:tcW w:type="dxa" w:w="2880"/>
            <w:vAlign w:val="center"/>
          </w:tcPr>
          <w:p>
            <w:pPr>
              <w:spacing w:before="30" w:after="30" w:line="276" w:lineRule="auto"/>
            </w:pPr>
            <w:r>
              <w:rPr>
                <w:rFonts w:ascii="微软雅黑" w:hAnsi="微软雅黑" w:eastAsia="微软雅黑" w:cs="微软雅黑"/>
                <w:b w:val="0"/>
                <w:i w:val="0"/>
                <w:color w:val="1F2937"/>
                <w:sz w:val="17"/>
              </w:rPr>
              <w:t>所属专业与班级</w:t>
            </w:r>
          </w:p>
        </w:tc>
        <w:tc>
          <w:tcPr>
            <w:tcW w:type="dxa" w:w="6480"/>
            <w:vAlign w:val="center"/>
          </w:tcPr>
          <w:p>
            <w:pPr>
              <w:spacing w:before="30" w:after="30" w:line="276" w:lineRule="auto"/>
            </w:pPr>
            <w:r>
              <w:rPr>
                <w:rFonts w:ascii="微软雅黑" w:hAnsi="微软雅黑" w:eastAsia="微软雅黑" w:cs="微软雅黑"/>
                <w:b w:val="0"/>
                <w:i w:val="0"/>
                <w:color w:val="1F2937"/>
                <w:sz w:val="17"/>
              </w:rPr>
              <w:t>BSc in Business Management and Information Systems (BSc BMIS)</w:t>
            </w:r>
          </w:p>
        </w:tc>
      </w:tr>
      <w:tr>
        <w:trPr>
          <w:cantSplit/>
        </w:trPr>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小组编号与规模</w:t>
            </w:r>
          </w:p>
        </w:tc>
        <w:tc>
          <w:tcPr>
            <w:tcW w:type="dxa" w:w="6480"/>
            <w:vAlign w:val="center"/>
            <w:shd w:fill="F1F5F9"/>
          </w:tcPr>
          <w:p>
            <w:pPr>
              <w:spacing w:before="30" w:after="30" w:line="276" w:lineRule="auto"/>
            </w:pPr>
            <w:r>
              <w:rPr>
                <w:rFonts w:ascii="微软雅黑" w:hAnsi="微软雅黑" w:eastAsia="微软雅黑" w:cs="微软雅黑"/>
                <w:b w:val="0"/>
                <w:i w:val="0"/>
                <w:color w:val="1F2937"/>
                <w:sz w:val="17"/>
              </w:rPr>
              <w:t>Group 5（共 10 位同学，全员分工已明晰）</w:t>
            </w:r>
          </w:p>
        </w:tc>
      </w:tr>
      <w:tr>
        <w:trPr>
          <w:cantSplit/>
        </w:trPr>
        <w:tc>
          <w:tcPr>
            <w:tcW w:type="dxa" w:w="2880"/>
            <w:vAlign w:val="center"/>
          </w:tcPr>
          <w:p>
            <w:pPr>
              <w:spacing w:before="30" w:after="30" w:line="276" w:lineRule="auto"/>
            </w:pPr>
            <w:r>
              <w:rPr>
                <w:rFonts w:ascii="微软雅黑" w:hAnsi="微软雅黑" w:eastAsia="微软雅黑" w:cs="微软雅黑"/>
                <w:b w:val="0"/>
                <w:i w:val="0"/>
                <w:color w:val="1F2937"/>
                <w:sz w:val="17"/>
              </w:rPr>
              <w:t>项目主管兼队长</w:t>
            </w:r>
          </w:p>
        </w:tc>
        <w:tc>
          <w:tcPr>
            <w:tcW w:type="dxa" w:w="6480"/>
            <w:vAlign w:val="center"/>
          </w:tcPr>
          <w:p>
            <w:pPr>
              <w:spacing w:before="30" w:after="30" w:line="276" w:lineRule="auto"/>
            </w:pPr>
            <w:r>
              <w:rPr>
                <w:rFonts w:ascii="微软雅黑" w:hAnsi="微软雅黑" w:eastAsia="微软雅黑" w:cs="微软雅黑"/>
                <w:b w:val="0"/>
                <w:i w:val="0"/>
                <w:color w:val="1F2937"/>
                <w:sz w:val="17"/>
              </w:rPr>
              <w:t>吴宇轩 (学号: 50106070 | 邮箱: u11yw25@abdn.ac.uk)</w:t>
            </w:r>
          </w:p>
        </w:tc>
      </w:tr>
    </w:tbl>
    <w:p>
      <w:pPr>
        <w:keepNext/>
        <w:spacing w:before="280" w:after="80" w:line="276" w:lineRule="auto"/>
      </w:pPr>
      <w:r>
        <w:rPr>
          <w:rFonts w:ascii="微软雅黑" w:hAnsi="微软雅黑" w:eastAsia="微软雅黑" w:cs="微软雅黑"/>
          <w:b/>
          <w:i w:val="0"/>
          <w:color w:val="1B365D"/>
          <w:sz w:val="26"/>
        </w:rPr>
        <w:t>一、 第一周任务总体完成概况与关键时间节点</w:t>
      </w:r>
    </w:p>
    <w:p>
      <w:pPr>
        <w:spacing w:before="0" w:after="70" w:line="288" w:lineRule="auto"/>
      </w:pPr>
      <w:r>
        <w:rPr>
          <w:rFonts w:ascii="微软雅黑" w:hAnsi="微软雅黑" w:eastAsia="微软雅黑" w:cs="微软雅黑"/>
          <w:b w:val="0"/>
          <w:i w:val="0"/>
          <w:color w:val="1F2937"/>
          <w:sz w:val="18"/>
        </w:rPr>
        <w:t>本周是 JC2001 软件工程课程的第 1 周（Practical Session 1），核心目标是确立团队组织架构、选定软件工程项目课题、完成团队破冰与分工，并产出符合阿伯丁大学课程规范的开题报告（Project Proposal）。在全组同学的共同配合下，目前已全部高标准就绪。</w:t>
      </w:r>
    </w:p>
    <w:tbl>
      <w:tblPr>
        <w:tblW w:type="auto" w:w="0"/>
        <w:jc w:val="center"/>
        <w:tblLook w:firstColumn="1" w:firstRow="1" w:lastColumn="0" w:lastRow="0" w:noHBand="0" w:noVBand="1" w:val="04A0"/>
        <w:tblBorders>
          <w:top w:val="single" w:sz="6" w:space="0" w:color="1B365D"/>
          <w:left w:val="none"/>
          <w:bottom w:val="single" w:sz="8" w:space="0" w:color="1B365D"/>
          <w:right w:val="none"/>
          <w:insideH w:val="single" w:sz="4" w:space="0" w:color="CBD5E1"/>
          <w:insideV w:val="none"/>
        </w:tblBorders>
        <w:tblCellMar>
          <w:top w:w="80" w:type="dxa"/>
          <w:bottom w:w="80" w:type="dxa"/>
          <w:left w:w="120" w:type="dxa"/>
          <w:right w:w="120" w:type="dxa"/>
        </w:tblCellMar>
      </w:tblPr>
      <w:tblGrid>
        <w:gridCol w:w="2400"/>
        <w:gridCol w:w="2400"/>
        <w:gridCol w:w="2400"/>
        <w:gridCol w:w="2400"/>
      </w:tblGrid>
      <w:tr>
        <w:trPr>
          <w:tblHeader/>
          <w:cantSplit/>
        </w:trPr>
        <w:tc>
          <w:tcPr>
            <w:tcW w:type="dxa" w:w="1872"/>
            <w:vAlign w:val="center"/>
            <w:shd w:fill="1B365D"/>
          </w:tcPr>
          <w:p>
            <w:pPr>
              <w:spacing w:before="40" w:after="40" w:line="276" w:lineRule="auto"/>
            </w:pPr>
            <w:r>
              <w:rPr>
                <w:rFonts w:ascii="微软雅黑" w:hAnsi="微软雅黑" w:eastAsia="微软雅黑" w:cs="微软雅黑"/>
                <w:b/>
                <w:i w:val="0"/>
                <w:color w:val="FFFFFF"/>
                <w:sz w:val="18"/>
              </w:rPr>
              <w:t>交付模块</w:t>
            </w:r>
          </w:p>
        </w:tc>
        <w:tc>
          <w:tcPr>
            <w:tcW w:type="dxa" w:w="2592"/>
            <w:vAlign w:val="center"/>
            <w:shd w:fill="1B365D"/>
          </w:tcPr>
          <w:p>
            <w:pPr>
              <w:spacing w:before="40" w:after="40" w:line="276" w:lineRule="auto"/>
            </w:pPr>
            <w:r>
              <w:rPr>
                <w:rFonts w:ascii="微软雅黑" w:hAnsi="微软雅黑" w:eastAsia="微软雅黑" w:cs="微软雅黑"/>
                <w:b/>
                <w:i w:val="0"/>
                <w:color w:val="FFFFFF"/>
                <w:sz w:val="18"/>
              </w:rPr>
              <w:t>文件名称与路径</w:t>
            </w:r>
          </w:p>
        </w:tc>
        <w:tc>
          <w:tcPr>
            <w:tcW w:type="dxa" w:w="1440"/>
            <w:vAlign w:val="center"/>
            <w:shd w:fill="1B365D"/>
          </w:tcPr>
          <w:p>
            <w:pPr>
              <w:spacing w:before="40" w:after="40" w:line="276" w:lineRule="auto"/>
            </w:pPr>
            <w:r>
              <w:rPr>
                <w:rFonts w:ascii="微软雅黑" w:hAnsi="微软雅黑" w:eastAsia="微软雅黑" w:cs="微软雅黑"/>
                <w:b/>
                <w:i w:val="0"/>
                <w:color w:val="FFFFFF"/>
                <w:sz w:val="18"/>
              </w:rPr>
              <w:t>完成状态</w:t>
            </w:r>
          </w:p>
        </w:tc>
        <w:tc>
          <w:tcPr>
            <w:tcW w:type="dxa" w:w="3456"/>
            <w:vAlign w:val="center"/>
            <w:shd w:fill="1B365D"/>
          </w:tcPr>
          <w:p>
            <w:pPr>
              <w:spacing w:before="40" w:after="40" w:line="276" w:lineRule="auto"/>
            </w:pPr>
            <w:r>
              <w:rPr>
                <w:rFonts w:ascii="微软雅黑" w:hAnsi="微软雅黑" w:eastAsia="微软雅黑" w:cs="微软雅黑"/>
                <w:b/>
                <w:i w:val="0"/>
                <w:color w:val="FFFFFF"/>
                <w:sz w:val="18"/>
              </w:rPr>
              <w:t>核心内容与规范说明</w:t>
            </w:r>
          </w:p>
        </w:tc>
      </w:tr>
      <w:tr>
        <w:trPr>
          <w:cantSplit/>
        </w:trPr>
        <w:tc>
          <w:tcPr>
            <w:tcW w:type="dxa" w:w="1872"/>
            <w:vAlign w:val="center"/>
          </w:tcPr>
          <w:p>
            <w:pPr>
              <w:spacing w:before="30" w:after="30" w:line="276" w:lineRule="auto"/>
            </w:pPr>
            <w:r>
              <w:rPr>
                <w:rFonts w:ascii="微软雅黑" w:hAnsi="微软雅黑" w:eastAsia="微软雅黑" w:cs="微软雅黑"/>
                <w:b w:val="0"/>
                <w:i w:val="0"/>
                <w:color w:val="1F2937"/>
                <w:sz w:val="17"/>
              </w:rPr>
              <w:t>实训交付包</w:t>
            </w:r>
          </w:p>
        </w:tc>
        <w:tc>
          <w:tcPr>
            <w:tcW w:type="dxa" w:w="2592"/>
            <w:vAlign w:val="center"/>
          </w:tcPr>
          <w:p>
            <w:pPr>
              <w:spacing w:before="30" w:after="30" w:line="276" w:lineRule="auto"/>
            </w:pPr>
            <w:r>
              <w:rPr>
                <w:rFonts w:ascii="微软雅黑" w:hAnsi="微软雅黑" w:eastAsia="微软雅黑" w:cs="微软雅黑"/>
                <w:b w:val="0"/>
                <w:i w:val="0"/>
                <w:color w:val="1F2937"/>
                <w:sz w:val="17"/>
              </w:rPr>
              <w:t>practical1_deliverables.md</w:t>
            </w:r>
          </w:p>
        </w:tc>
        <w:tc>
          <w:tcPr>
            <w:tcW w:type="dxa" w:w="1440"/>
            <w:vAlign w:val="center"/>
          </w:tcPr>
          <w:p>
            <w:pPr>
              <w:spacing w:before="30" w:after="30" w:line="276" w:lineRule="auto"/>
            </w:pPr>
            <w:r>
              <w:rPr>
                <w:rFonts w:ascii="微软雅黑" w:hAnsi="微软雅黑" w:eastAsia="微软雅黑" w:cs="微软雅黑"/>
                <w:b w:val="0"/>
                <w:i w:val="0"/>
                <w:color w:val="1F2937"/>
                <w:sz w:val="17"/>
              </w:rPr>
              <w:t>100% 已就绪</w:t>
            </w:r>
          </w:p>
        </w:tc>
        <w:tc>
          <w:tcPr>
            <w:tcW w:type="dxa" w:w="3456"/>
            <w:vAlign w:val="center"/>
          </w:tcPr>
          <w:p>
            <w:pPr>
              <w:spacing w:before="30" w:after="30" w:line="276" w:lineRule="auto"/>
            </w:pPr>
            <w:r>
              <w:rPr>
                <w:rFonts w:ascii="微软雅黑" w:hAnsi="微软雅黑" w:eastAsia="微软雅黑" w:cs="微软雅黑"/>
                <w:b w:val="0"/>
                <w:i w:val="0"/>
                <w:color w:val="1F2937"/>
                <w:sz w:val="17"/>
              </w:rPr>
              <w:t>563 行完整方案：包含 10 人 50 题破冰记录、四阶段分工、课题四要素与导师约会邮件。</w:t>
            </w:r>
          </w:p>
        </w:tc>
      </w:tr>
      <w:tr>
        <w:trPr>
          <w:cantSplit/>
        </w:trPr>
        <w:tc>
          <w:tcPr>
            <w:tcW w:type="dxa" w:w="1872"/>
            <w:vAlign w:val="center"/>
            <w:shd w:fill="F1F5F9"/>
          </w:tcPr>
          <w:p>
            <w:pPr>
              <w:spacing w:before="30" w:after="30" w:line="276" w:lineRule="auto"/>
            </w:pPr>
            <w:r>
              <w:rPr>
                <w:rFonts w:ascii="微软雅黑" w:hAnsi="微软雅黑" w:eastAsia="微软雅黑" w:cs="微软雅黑"/>
                <w:b w:val="0"/>
                <w:i w:val="0"/>
                <w:color w:val="1F2937"/>
                <w:sz w:val="17"/>
              </w:rPr>
              <w:t>开题报告正文</w:t>
            </w:r>
          </w:p>
        </w:tc>
        <w:tc>
          <w:tcPr>
            <w:tcW w:type="dxa" w:w="2592"/>
            <w:vAlign w:val="center"/>
            <w:shd w:fill="F1F5F9"/>
          </w:tcPr>
          <w:p>
            <w:pPr>
              <w:spacing w:before="30" w:after="30" w:line="276" w:lineRule="auto"/>
            </w:pPr>
            <w:r>
              <w:rPr>
                <w:rFonts w:ascii="微软雅黑" w:hAnsi="微软雅黑" w:eastAsia="微软雅黑" w:cs="微软雅黑"/>
                <w:b w:val="0"/>
                <w:i w:val="0"/>
                <w:color w:val="1F2937"/>
                <w:sz w:val="17"/>
              </w:rPr>
              <w:t>reports/project_proposal.md</w:t>
            </w:r>
          </w:p>
        </w:tc>
        <w:tc>
          <w:tcPr>
            <w:tcW w:type="dxa" w:w="1440"/>
            <w:vAlign w:val="center"/>
            <w:shd w:fill="F1F5F9"/>
          </w:tcPr>
          <w:p>
            <w:pPr>
              <w:spacing w:before="30" w:after="30" w:line="276" w:lineRule="auto"/>
            </w:pPr>
            <w:r>
              <w:rPr>
                <w:rFonts w:ascii="微软雅黑" w:hAnsi="微软雅黑" w:eastAsia="微软雅黑" w:cs="微软雅黑"/>
                <w:b w:val="0"/>
                <w:i w:val="0"/>
                <w:color w:val="1F2937"/>
                <w:sz w:val="17"/>
              </w:rPr>
              <w:t>100% 已就绪</w:t>
            </w:r>
          </w:p>
        </w:tc>
        <w:tc>
          <w:tcPr>
            <w:tcW w:type="dxa" w:w="3456"/>
            <w:vAlign w:val="center"/>
            <w:shd w:fill="F1F5F9"/>
          </w:tcPr>
          <w:p>
            <w:pPr>
              <w:spacing w:before="30" w:after="30" w:line="276" w:lineRule="auto"/>
            </w:pPr>
            <w:r>
              <w:rPr>
                <w:rFonts w:ascii="微软雅黑" w:hAnsi="微软雅黑" w:eastAsia="微软雅黑" w:cs="微软雅黑"/>
                <w:b w:val="0"/>
                <w:i w:val="0"/>
                <w:color w:val="1F2937"/>
                <w:sz w:val="17"/>
              </w:rPr>
              <w:t>涵盖 5 大 SMART 目标、13 项 WBS 拆解、IEEE [1]–[8] 正式学术文献索引与技术解法。</w:t>
            </w:r>
          </w:p>
        </w:tc>
      </w:tr>
      <w:tr>
        <w:trPr>
          <w:cantSplit/>
        </w:trPr>
        <w:tc>
          <w:tcPr>
            <w:tcW w:type="dxa" w:w="1872"/>
            <w:vAlign w:val="center"/>
          </w:tcPr>
          <w:p>
            <w:pPr>
              <w:spacing w:before="30" w:after="30" w:line="276" w:lineRule="auto"/>
            </w:pPr>
            <w:r>
              <w:rPr>
                <w:rFonts w:ascii="微软雅黑" w:hAnsi="微软雅黑" w:eastAsia="微软雅黑" w:cs="微软雅黑"/>
                <w:b w:val="0"/>
                <w:i w:val="0"/>
                <w:color w:val="1F2937"/>
                <w:sz w:val="17"/>
              </w:rPr>
              <w:t>官方排版 PDF</w:t>
            </w:r>
          </w:p>
        </w:tc>
        <w:tc>
          <w:tcPr>
            <w:tcW w:type="dxa" w:w="2592"/>
            <w:vAlign w:val="center"/>
          </w:tcPr>
          <w:p>
            <w:pPr>
              <w:spacing w:before="30" w:after="30" w:line="276" w:lineRule="auto"/>
            </w:pPr>
            <w:r>
              <w:rPr>
                <w:rFonts w:ascii="微软雅黑" w:hAnsi="微软雅黑" w:eastAsia="微软雅黑" w:cs="微软雅黑"/>
                <w:b w:val="0"/>
                <w:i w:val="0"/>
                <w:color w:val="1F2937"/>
                <w:sz w:val="17"/>
              </w:rPr>
              <w:t>reports/project_proposal.pdf</w:t>
            </w:r>
          </w:p>
        </w:tc>
        <w:tc>
          <w:tcPr>
            <w:tcW w:type="dxa" w:w="1440"/>
            <w:vAlign w:val="center"/>
          </w:tcPr>
          <w:p>
            <w:pPr>
              <w:spacing w:before="30" w:after="30" w:line="276" w:lineRule="auto"/>
            </w:pPr>
            <w:r>
              <w:rPr>
                <w:rFonts w:ascii="微软雅黑" w:hAnsi="微软雅黑" w:eastAsia="微软雅黑" w:cs="微软雅黑"/>
                <w:b w:val="0"/>
                <w:i w:val="0"/>
                <w:color w:val="1F2937"/>
                <w:sz w:val="17"/>
              </w:rPr>
              <w:t>100% 编译通过</w:t>
            </w:r>
          </w:p>
        </w:tc>
        <w:tc>
          <w:tcPr>
            <w:tcW w:type="dxa" w:w="3456"/>
            <w:vAlign w:val="center"/>
          </w:tcPr>
          <w:p>
            <w:pPr>
              <w:spacing w:before="30" w:after="30" w:line="276" w:lineRule="auto"/>
            </w:pPr>
            <w:r>
              <w:rPr>
                <w:rFonts w:ascii="微软雅黑" w:hAnsi="微软雅黑" w:eastAsia="微软雅黑" w:cs="微软雅黑"/>
                <w:b w:val="0"/>
                <w:i w:val="0"/>
                <w:color w:val="1F2937"/>
                <w:sz w:val="17"/>
              </w:rPr>
              <w:t>严格 8 页（1 封面 + 7 正文），四周 1 英寸边距，12pt 字体，1.5 倍行距，符合 4–8 页红线。</w:t>
            </w:r>
          </w:p>
        </w:tc>
      </w:tr>
      <w:tr>
        <w:trPr>
          <w:cantSplit/>
        </w:trPr>
        <w:tc>
          <w:tcPr>
            <w:tcW w:type="dxa" w:w="1872"/>
            <w:vAlign w:val="center"/>
            <w:shd w:fill="F1F5F9"/>
          </w:tcPr>
          <w:p>
            <w:pPr>
              <w:spacing w:before="30" w:after="30" w:line="276" w:lineRule="auto"/>
            </w:pPr>
            <w:r>
              <w:rPr>
                <w:rFonts w:ascii="微软雅黑" w:hAnsi="微软雅黑" w:eastAsia="微软雅黑" w:cs="微软雅黑"/>
                <w:b w:val="0"/>
                <w:i w:val="0"/>
                <w:color w:val="1F2937"/>
                <w:sz w:val="17"/>
              </w:rPr>
              <w:t>官方排版 Word</w:t>
            </w:r>
          </w:p>
        </w:tc>
        <w:tc>
          <w:tcPr>
            <w:tcW w:type="dxa" w:w="2592"/>
            <w:vAlign w:val="center"/>
            <w:shd w:fill="F1F5F9"/>
          </w:tcPr>
          <w:p>
            <w:pPr>
              <w:spacing w:before="30" w:after="30" w:line="276" w:lineRule="auto"/>
            </w:pPr>
            <w:r>
              <w:rPr>
                <w:rFonts w:ascii="微软雅黑" w:hAnsi="微软雅黑" w:eastAsia="微软雅黑" w:cs="微软雅黑"/>
                <w:b w:val="0"/>
                <w:i w:val="0"/>
                <w:color w:val="1F2937"/>
                <w:sz w:val="17"/>
              </w:rPr>
              <w:t>reports/project_proposal.docx</w:t>
            </w:r>
          </w:p>
        </w:tc>
        <w:tc>
          <w:tcPr>
            <w:tcW w:type="dxa" w:w="1440"/>
            <w:vAlign w:val="center"/>
            <w:shd w:fill="F1F5F9"/>
          </w:tcPr>
          <w:p>
            <w:pPr>
              <w:spacing w:before="30" w:after="30" w:line="276" w:lineRule="auto"/>
            </w:pPr>
            <w:r>
              <w:rPr>
                <w:rFonts w:ascii="微软雅黑" w:hAnsi="微软雅黑" w:eastAsia="微软雅黑" w:cs="微软雅黑"/>
                <w:b w:val="0"/>
                <w:i w:val="0"/>
                <w:color w:val="1F2937"/>
                <w:sz w:val="17"/>
              </w:rPr>
              <w:t>100% 编译通过</w:t>
            </w:r>
          </w:p>
        </w:tc>
        <w:tc>
          <w:tcPr>
            <w:tcW w:type="dxa" w:w="3456"/>
            <w:vAlign w:val="center"/>
            <w:shd w:fill="F1F5F9"/>
          </w:tcPr>
          <w:p>
            <w:pPr>
              <w:spacing w:before="30" w:after="30" w:line="276" w:lineRule="auto"/>
            </w:pPr>
            <w:r>
              <w:rPr>
                <w:rFonts w:ascii="微软雅黑" w:hAnsi="微软雅黑" w:eastAsia="微软雅黑" w:cs="微软雅黑"/>
                <w:b w:val="0"/>
                <w:i w:val="0"/>
                <w:color w:val="1F2937"/>
                <w:sz w:val="17"/>
              </w:rPr>
              <w:t>原生 Microsoft Word 生成源码，牛津蓝表头，保留分节符与自动化排版样式。</w:t>
            </w:r>
          </w:p>
        </w:tc>
      </w:tr>
    </w:tbl>
    <w:p>
      <w:pPr>
        <w:keepNext/>
        <w:spacing w:before="200" w:after="60" w:line="276" w:lineRule="auto"/>
      </w:pPr>
      <w:r>
        <w:rPr>
          <w:rFonts w:ascii="微软雅黑" w:hAnsi="微软雅黑" w:eastAsia="微软雅黑" w:cs="微软雅黑"/>
          <w:b/>
          <w:i w:val="0"/>
          <w:color w:val="1E3A8A"/>
          <w:sz w:val="22"/>
        </w:rPr>
        <w:t>1.1 【重点死线提醒】开题报告官方提交要求</w:t>
      </w:r>
    </w:p>
    <w:tbl>
      <w:tblPr>
        <w:tblW w:type="auto" w:w="0"/>
        <w:jc w:val="center"/>
        <w:tblLook w:firstColumn="1" w:firstRow="1" w:lastColumn="0" w:lastRow="0" w:noHBand="0" w:noVBand="1" w:val="04A0"/>
      </w:tblPr>
      <w:tblGrid>
        <w:gridCol w:w="9602"/>
      </w:tblGrid>
      <w:tr>
        <w:tc>
          <w:tcPr>
            <w:tcW w:type="dxa" w:w="9360"/>
            <w:shd w:fill="FEF3C7"/>
            <w:tcBorders>
              <w:top w:val="none"/>
              <w:left w:val="single" w:sz="24" w:space="0" w:color="D97706"/>
              <w:bottom w:val="none"/>
              <w:right w:val="none"/>
            </w:tcBorders>
          </w:tcPr>
          <w:p>
            <w:pPr>
              <w:spacing w:before="60" w:after="60" w:line="283" w:lineRule="auto"/>
            </w:pPr>
            <w:r>
              <w:rPr>
                <w:rFonts w:ascii="微软雅黑" w:hAnsi="微软雅黑" w:eastAsia="微软雅黑" w:cs="微软雅黑"/>
                <w:b w:val="0"/>
                <w:i w:val="0"/>
                <w:color w:val="1B365D"/>
                <w:sz w:val="18"/>
              </w:rPr>
              <w:t>⚠️ 【绝对红线，不可逾越】</w:t>
              <w:br/>
              <w:t>1. 提交截止时间：2026 年 9 月 25 日（第 2 周周五）23:59 CST (北京时间)。</w:t>
              <w:br/>
              <w:t>2. 提交方式与格式：由队长（吴宇轩）代表全组在 MyAberdeen 系统上传单一 PDF 文件（即 reports/project_proposal.pdf）。</w:t>
              <w:br/>
              <w:t>3. 迟交扣分惩罚：截止后 7 天内提交将面临最高 10% 的项目总分扣减；超过 7 天按未提交（0分）处理！</w:t>
              <w:br/>
              <w:t>4. 学术诚信检测：所有文件将通过 Turnitin 查重，连续引用外部文献严禁超过 3–4 句话，禁止任何形式的代码抄袭。</w:t>
            </w:r>
          </w:p>
        </w:tc>
      </w:tr>
    </w:tbl>
    <w:p>
      <w:pPr>
        <w:keepNext/>
        <w:spacing w:before="200" w:after="60" w:line="276" w:lineRule="auto"/>
      </w:pPr>
      <w:r>
        <w:rPr>
          <w:rFonts w:ascii="微软雅黑" w:hAnsi="微软雅黑" w:eastAsia="微软雅黑" w:cs="微软雅黑"/>
          <w:b/>
          <w:i w:val="0"/>
          <w:color w:val="1E3A8A"/>
          <w:sz w:val="22"/>
        </w:rPr>
        <w:t>1.2 整个学期的里程碑路线图（全员必须牢记）</w:t>
      </w:r>
    </w:p>
    <w:tbl>
      <w:tblPr>
        <w:tblW w:type="auto" w:w="0"/>
        <w:jc w:val="center"/>
        <w:tblLook w:firstColumn="1" w:firstRow="1" w:lastColumn="0" w:lastRow="0" w:noHBand="0" w:noVBand="1" w:val="04A0"/>
        <w:tblBorders>
          <w:top w:val="single" w:sz="6" w:space="0" w:color="1E3A8A"/>
          <w:left w:val="none"/>
          <w:bottom w:val="single" w:sz="8" w:space="0" w:color="1E3A8A"/>
          <w:right w:val="none"/>
          <w:insideH w:val="single" w:sz="4" w:space="0" w:color="CBD5E1"/>
          <w:insideV w:val="none"/>
        </w:tblBorders>
        <w:tblCellMar>
          <w:top w:w="80" w:type="dxa"/>
          <w:bottom w:w="80" w:type="dxa"/>
          <w:left w:w="120" w:type="dxa"/>
          <w:right w:w="120" w:type="dxa"/>
        </w:tblCellMar>
      </w:tblPr>
      <w:tblGrid>
        <w:gridCol w:w="2400"/>
        <w:gridCol w:w="2400"/>
        <w:gridCol w:w="2400"/>
        <w:gridCol w:w="2400"/>
      </w:tblGrid>
      <w:tr>
        <w:trPr>
          <w:tblHeader/>
          <w:cantSplit/>
        </w:trPr>
        <w:tc>
          <w:tcPr>
            <w:tcW w:type="dxa" w:w="2016"/>
            <w:vAlign w:val="center"/>
            <w:shd w:fill="1E3A8A"/>
          </w:tcPr>
          <w:p>
            <w:pPr>
              <w:spacing w:before="40" w:after="40" w:line="276" w:lineRule="auto"/>
            </w:pPr>
            <w:r>
              <w:rPr>
                <w:rFonts w:ascii="微软雅黑" w:hAnsi="微软雅黑" w:eastAsia="微软雅黑" w:cs="微软雅黑"/>
                <w:b/>
                <w:i w:val="0"/>
                <w:color w:val="FFFFFF"/>
                <w:sz w:val="18"/>
              </w:rPr>
              <w:t>工程阶段</w:t>
            </w:r>
          </w:p>
        </w:tc>
        <w:tc>
          <w:tcPr>
            <w:tcW w:type="dxa" w:w="3888"/>
            <w:vAlign w:val="center"/>
            <w:shd w:fill="1E3A8A"/>
          </w:tcPr>
          <w:p>
            <w:pPr>
              <w:spacing w:before="40" w:after="40" w:line="276" w:lineRule="auto"/>
            </w:pPr>
            <w:r>
              <w:rPr>
                <w:rFonts w:ascii="微软雅黑" w:hAnsi="微软雅黑" w:eastAsia="微软雅黑" w:cs="微软雅黑"/>
                <w:b/>
                <w:i w:val="0"/>
                <w:color w:val="FFFFFF"/>
                <w:sz w:val="18"/>
              </w:rPr>
              <w:t>核心任务与交付物</w:t>
            </w:r>
          </w:p>
        </w:tc>
        <w:tc>
          <w:tcPr>
            <w:tcW w:type="dxa" w:w="1872"/>
            <w:vAlign w:val="center"/>
            <w:shd w:fill="1E3A8A"/>
          </w:tcPr>
          <w:p>
            <w:pPr>
              <w:spacing w:before="40" w:after="40" w:line="276" w:lineRule="auto"/>
            </w:pPr>
            <w:r>
              <w:rPr>
                <w:rFonts w:ascii="微软雅黑" w:hAnsi="微软雅黑" w:eastAsia="微软雅黑" w:cs="微软雅黑"/>
                <w:b/>
                <w:i w:val="0"/>
                <w:color w:val="FFFFFF"/>
                <w:sz w:val="18"/>
              </w:rPr>
              <w:t>截止完成时间</w:t>
            </w:r>
          </w:p>
        </w:tc>
        <w:tc>
          <w:tcPr>
            <w:tcW w:type="dxa" w:w="1584"/>
            <w:vAlign w:val="center"/>
            <w:shd w:fill="1E3A8A"/>
          </w:tcPr>
          <w:p>
            <w:pPr>
              <w:spacing w:before="40" w:after="40" w:line="276" w:lineRule="auto"/>
            </w:pPr>
            <w:r>
              <w:rPr>
                <w:rFonts w:ascii="微软雅黑" w:hAnsi="微软雅黑" w:eastAsia="微软雅黑" w:cs="微软雅黑"/>
                <w:b/>
                <w:i w:val="0"/>
                <w:color w:val="FFFFFF"/>
                <w:sz w:val="18"/>
              </w:rPr>
              <w:t>对应考核权重</w:t>
            </w:r>
          </w:p>
        </w:tc>
      </w:tr>
      <w:tr>
        <w:trPr>
          <w:cantSplit/>
        </w:trPr>
        <w:tc>
          <w:tcPr>
            <w:tcW w:type="dxa" w:w="2016"/>
            <w:vAlign w:val="center"/>
          </w:tcPr>
          <w:p>
            <w:pPr>
              <w:spacing w:before="30" w:after="30" w:line="276" w:lineRule="auto"/>
            </w:pPr>
            <w:r>
              <w:rPr>
                <w:rFonts w:ascii="微软雅黑" w:hAnsi="微软雅黑" w:eastAsia="微软雅黑" w:cs="微软雅黑"/>
                <w:b w:val="0"/>
                <w:i w:val="0"/>
                <w:color w:val="1F2937"/>
                <w:sz w:val="17"/>
              </w:rPr>
              <w:t>Phase 1: 开题与需求</w:t>
            </w:r>
          </w:p>
        </w:tc>
        <w:tc>
          <w:tcPr>
            <w:tcW w:type="dxa" w:w="3888"/>
            <w:vAlign w:val="center"/>
          </w:tcPr>
          <w:p>
            <w:pPr>
              <w:spacing w:before="30" w:after="30" w:line="276" w:lineRule="auto"/>
            </w:pPr>
            <w:r>
              <w:rPr>
                <w:rFonts w:ascii="微软雅黑" w:hAnsi="微软雅黑" w:eastAsia="微软雅黑" w:cs="微软雅黑"/>
                <w:b w:val="0"/>
                <w:i w:val="0"/>
                <w:color w:val="1F2937"/>
                <w:sz w:val="17"/>
              </w:rPr>
              <w:t>提交开题报告 (Project Proposal PDF) 与导师开题会议</w:t>
            </w:r>
          </w:p>
        </w:tc>
        <w:tc>
          <w:tcPr>
            <w:tcW w:type="dxa" w:w="1872"/>
            <w:vAlign w:val="center"/>
          </w:tcPr>
          <w:p>
            <w:pPr>
              <w:spacing w:before="30" w:after="30" w:line="276" w:lineRule="auto"/>
            </w:pPr>
            <w:r>
              <w:rPr>
                <w:rFonts w:ascii="微软雅黑" w:hAnsi="微软雅黑" w:eastAsia="微软雅黑" w:cs="微软雅黑"/>
                <w:b w:val="0"/>
                <w:i w:val="0"/>
                <w:color w:val="1F2937"/>
                <w:sz w:val="17"/>
              </w:rPr>
              <w:t>2026年9月25日</w:t>
            </w:r>
          </w:p>
        </w:tc>
        <w:tc>
          <w:tcPr>
            <w:tcW w:type="dxa" w:w="1584"/>
            <w:vAlign w:val="center"/>
          </w:tcPr>
          <w:p>
            <w:pPr>
              <w:spacing w:before="30" w:after="30" w:line="276" w:lineRule="auto"/>
            </w:pPr>
            <w:r>
              <w:rPr>
                <w:rFonts w:ascii="微软雅黑" w:hAnsi="微软雅黑" w:eastAsia="微软雅黑" w:cs="微软雅黑"/>
                <w:b w:val="0"/>
                <w:i w:val="0"/>
                <w:color w:val="1F2937"/>
                <w:sz w:val="17"/>
              </w:rPr>
              <w:t>必须提交 (不通过扣10%)</w:t>
            </w:r>
          </w:p>
        </w:tc>
      </w:tr>
      <w:tr>
        <w:trPr>
          <w:cantSplit/>
        </w:trPr>
        <w:tc>
          <w:tcPr>
            <w:tcW w:type="dxa" w:w="2016"/>
            <w:vAlign w:val="center"/>
            <w:shd w:fill="F1F5F9"/>
          </w:tcPr>
          <w:p>
            <w:pPr>
              <w:spacing w:before="30" w:after="30" w:line="276" w:lineRule="auto"/>
            </w:pPr>
            <w:r>
              <w:rPr>
                <w:rFonts w:ascii="微软雅黑" w:hAnsi="微软雅黑" w:eastAsia="微软雅黑" w:cs="微软雅黑"/>
                <w:b w:val="0"/>
                <w:i w:val="0"/>
                <w:color w:val="1F2937"/>
                <w:sz w:val="17"/>
              </w:rPr>
              <w:t>Phase 2: 设计与架构</w:t>
            </w:r>
          </w:p>
        </w:tc>
        <w:tc>
          <w:tcPr>
            <w:tcW w:type="dxa" w:w="3888"/>
            <w:vAlign w:val="center"/>
            <w:shd w:fill="F1F5F9"/>
          </w:tcPr>
          <w:p>
            <w:pPr>
              <w:spacing w:before="30" w:after="30" w:line="276" w:lineRule="auto"/>
            </w:pPr>
            <w:r>
              <w:rPr>
                <w:rFonts w:ascii="微软雅黑" w:hAnsi="微软雅黑" w:eastAsia="微软雅黑" w:cs="微软雅黑"/>
                <w:b w:val="0"/>
                <w:i w:val="0"/>
                <w:color w:val="1F2937"/>
                <w:sz w:val="17"/>
              </w:rPr>
              <w:t>系统架构设计、UML 建模、知识图谱 Schema 与接口冻结</w:t>
            </w:r>
          </w:p>
        </w:tc>
        <w:tc>
          <w:tcPr>
            <w:tcW w:type="dxa" w:w="1872"/>
            <w:vAlign w:val="center"/>
            <w:shd w:fill="F1F5F9"/>
          </w:tcPr>
          <w:p>
            <w:pPr>
              <w:spacing w:before="30" w:after="30" w:line="276" w:lineRule="auto"/>
            </w:pPr>
            <w:r>
              <w:rPr>
                <w:rFonts w:ascii="微软雅黑" w:hAnsi="微软雅黑" w:eastAsia="微软雅黑" w:cs="微软雅黑"/>
                <w:b w:val="0"/>
                <w:i w:val="0"/>
                <w:color w:val="1F2937"/>
                <w:sz w:val="17"/>
              </w:rPr>
              <w:t>2026年10月31日</w:t>
            </w:r>
          </w:p>
        </w:tc>
        <w:tc>
          <w:tcPr>
            <w:tcW w:type="dxa" w:w="1584"/>
            <w:vAlign w:val="center"/>
            <w:shd w:fill="F1F5F9"/>
          </w:tcPr>
          <w:p>
            <w:pPr>
              <w:spacing w:before="30" w:after="30" w:line="276" w:lineRule="auto"/>
            </w:pPr>
            <w:r>
              <w:rPr>
                <w:rFonts w:ascii="微软雅黑" w:hAnsi="微软雅黑" w:eastAsia="微软雅黑" w:cs="微软雅黑"/>
                <w:b w:val="0"/>
                <w:i w:val="0"/>
                <w:color w:val="1F2937"/>
                <w:sz w:val="17"/>
              </w:rPr>
              <w:t>项目中期跟进 (Update 1/2)</w:t>
            </w:r>
          </w:p>
        </w:tc>
      </w:tr>
      <w:tr>
        <w:trPr>
          <w:cantSplit/>
        </w:trPr>
        <w:tc>
          <w:tcPr>
            <w:tcW w:type="dxa" w:w="2016"/>
            <w:vAlign w:val="center"/>
          </w:tcPr>
          <w:p>
            <w:pPr>
              <w:spacing w:before="30" w:after="30" w:line="276" w:lineRule="auto"/>
            </w:pPr>
            <w:r>
              <w:rPr>
                <w:rFonts w:ascii="微软雅黑" w:hAnsi="微软雅黑" w:eastAsia="微软雅黑" w:cs="微软雅黑"/>
                <w:b w:val="0"/>
                <w:i w:val="0"/>
                <w:color w:val="1F2937"/>
                <w:sz w:val="17"/>
              </w:rPr>
              <w:t>Phase 3: 开发与实现</w:t>
            </w:r>
          </w:p>
        </w:tc>
        <w:tc>
          <w:tcPr>
            <w:tcW w:type="dxa" w:w="3888"/>
            <w:vAlign w:val="center"/>
          </w:tcPr>
          <w:p>
            <w:pPr>
              <w:spacing w:before="30" w:after="30" w:line="276" w:lineRule="auto"/>
            </w:pPr>
            <w:r>
              <w:rPr>
                <w:rFonts w:ascii="微软雅黑" w:hAnsi="微软雅黑" w:eastAsia="微软雅黑" w:cs="微软雅黑"/>
                <w:b w:val="0"/>
                <w:i w:val="0"/>
                <w:color w:val="1F2937"/>
                <w:sz w:val="17"/>
              </w:rPr>
              <w:t>完成 GraphRAG 错题诊断 PoC 核心代码、刷题引擎与测试</w:t>
            </w:r>
          </w:p>
        </w:tc>
        <w:tc>
          <w:tcPr>
            <w:tcW w:type="dxa" w:w="1872"/>
            <w:vAlign w:val="center"/>
          </w:tcPr>
          <w:p>
            <w:pPr>
              <w:spacing w:before="30" w:after="30" w:line="276" w:lineRule="auto"/>
            </w:pPr>
            <w:r>
              <w:rPr>
                <w:rFonts w:ascii="微软雅黑" w:hAnsi="微软雅黑" w:eastAsia="微软雅黑" w:cs="微软雅黑"/>
                <w:b w:val="0"/>
                <w:i w:val="0"/>
                <w:color w:val="1F2937"/>
                <w:sz w:val="17"/>
              </w:rPr>
              <w:t>2026年11月30日</w:t>
            </w:r>
          </w:p>
        </w:tc>
        <w:tc>
          <w:tcPr>
            <w:tcW w:type="dxa" w:w="1584"/>
            <w:vAlign w:val="center"/>
          </w:tcPr>
          <w:p>
            <w:pPr>
              <w:spacing w:before="30" w:after="30" w:line="276" w:lineRule="auto"/>
            </w:pPr>
            <w:r>
              <w:rPr>
                <w:rFonts w:ascii="微软雅黑" w:hAnsi="微软雅黑" w:eastAsia="微软雅黑" w:cs="微软雅黑"/>
                <w:b w:val="0"/>
                <w:i w:val="0"/>
                <w:color w:val="1F2937"/>
                <w:sz w:val="17"/>
              </w:rPr>
              <w:t>代码原型冻结 (Update 3/4)</w:t>
            </w:r>
          </w:p>
        </w:tc>
      </w:tr>
      <w:tr>
        <w:trPr>
          <w:cantSplit/>
        </w:trPr>
        <w:tc>
          <w:tcPr>
            <w:tcW w:type="dxa" w:w="2016"/>
            <w:vAlign w:val="center"/>
            <w:shd w:fill="F1F5F9"/>
          </w:tcPr>
          <w:p>
            <w:pPr>
              <w:spacing w:before="30" w:after="30" w:line="276" w:lineRule="auto"/>
            </w:pPr>
            <w:r>
              <w:rPr>
                <w:rFonts w:ascii="微软雅黑" w:hAnsi="微软雅黑" w:eastAsia="微软雅黑" w:cs="微软雅黑"/>
                <w:b w:val="0"/>
                <w:i w:val="0"/>
                <w:color w:val="1F2937"/>
                <w:sz w:val="17"/>
              </w:rPr>
              <w:t>Phase 4: 终审与验收</w:t>
            </w:r>
          </w:p>
        </w:tc>
        <w:tc>
          <w:tcPr>
            <w:tcW w:type="dxa" w:w="3888"/>
            <w:vAlign w:val="center"/>
            <w:shd w:fill="F1F5F9"/>
          </w:tcPr>
          <w:p>
            <w:pPr>
              <w:spacing w:before="30" w:after="30" w:line="276" w:lineRule="auto"/>
            </w:pPr>
            <w:r>
              <w:rPr>
                <w:rFonts w:ascii="微软雅黑" w:hAnsi="微软雅黑" w:eastAsia="微软雅黑" w:cs="微软雅黑"/>
                <w:b w:val="0"/>
                <w:i w:val="0"/>
                <w:color w:val="1F2937"/>
                <w:sz w:val="17"/>
              </w:rPr>
              <w:t>技术报告 (40-60页, 50%) + 软件与手册 (30%) + 15分钟视频答辩 (20%)</w:t>
            </w:r>
          </w:p>
        </w:tc>
        <w:tc>
          <w:tcPr>
            <w:tcW w:type="dxa" w:w="1872"/>
            <w:vAlign w:val="center"/>
            <w:shd w:fill="F1F5F9"/>
          </w:tcPr>
          <w:p>
            <w:pPr>
              <w:spacing w:before="30" w:after="30" w:line="276" w:lineRule="auto"/>
            </w:pPr>
            <w:r>
              <w:rPr>
                <w:rFonts w:ascii="微软雅黑" w:hAnsi="微软雅黑" w:eastAsia="微软雅黑" w:cs="微软雅黑"/>
                <w:b w:val="0"/>
                <w:i w:val="0"/>
                <w:color w:val="1F2937"/>
                <w:sz w:val="17"/>
              </w:rPr>
              <w:t>2026年12月14日</w:t>
            </w:r>
          </w:p>
        </w:tc>
        <w:tc>
          <w:tcPr>
            <w:tcW w:type="dxa" w:w="1584"/>
            <w:vAlign w:val="center"/>
            <w:shd w:fill="F1F5F9"/>
          </w:tcPr>
          <w:p>
            <w:pPr>
              <w:spacing w:before="30" w:after="30" w:line="276" w:lineRule="auto"/>
            </w:pPr>
            <w:r>
              <w:rPr>
                <w:rFonts w:ascii="微软雅黑" w:hAnsi="微软雅黑" w:eastAsia="微软雅黑" w:cs="微软雅黑"/>
                <w:b w:val="0"/>
                <w:i w:val="0"/>
                <w:color w:val="1F2937"/>
                <w:sz w:val="17"/>
              </w:rPr>
              <w:t>占课程总成绩 50%</w:t>
            </w:r>
          </w:p>
        </w:tc>
      </w:tr>
    </w:tbl>
    <w:p>
      <w:r>
        <w:br w:type="page"/>
      </w:r>
    </w:p>
    <w:p>
      <w:pPr>
        <w:keepNext/>
        <w:spacing w:before="280" w:after="80" w:line="276" w:lineRule="auto"/>
      </w:pPr>
      <w:r>
        <w:rPr>
          <w:rFonts w:ascii="微软雅黑" w:hAnsi="微软雅黑" w:eastAsia="微软雅黑" w:cs="微软雅黑"/>
          <w:b/>
          <w:i w:val="0"/>
          <w:color w:val="1B365D"/>
          <w:sz w:val="26"/>
        </w:rPr>
        <w:t>二、 10 位组员四阶段职责分工矩阵与破冰信息核对</w:t>
      </w:r>
    </w:p>
    <w:p>
      <w:pPr>
        <w:spacing w:before="0" w:after="70" w:line="288" w:lineRule="auto"/>
      </w:pPr>
      <w:r>
        <w:rPr>
          <w:rFonts w:ascii="微软雅黑" w:hAnsi="微软雅黑" w:eastAsia="微软雅黑" w:cs="微软雅黑"/>
          <w:b w:val="0"/>
          <w:i w:val="0"/>
          <w:color w:val="1F2937"/>
          <w:sz w:val="18"/>
        </w:rPr>
        <w:t>软件工程大作业强调全生命周期的分工协作与可追溯性。每位同学均拥有明确的主导模块与协同模块，确保在最终的技术报告与答辩中每位同学都有扎实的个人贡献度记录。</w:t>
      </w:r>
    </w:p>
    <w:tbl>
      <w:tblPr>
        <w:tblW w:type="auto" w:w="0"/>
        <w:jc w:val="center"/>
        <w:tblLook w:firstColumn="1" w:firstRow="1" w:lastColumn="0" w:lastRow="0" w:noHBand="0" w:noVBand="1" w:val="04A0"/>
        <w:tblBorders>
          <w:top w:val="single" w:sz="6" w:space="0" w:color="1B365D"/>
          <w:left w:val="none"/>
          <w:bottom w:val="single" w:sz="8" w:space="0" w:color="1B365D"/>
          <w:right w:val="none"/>
          <w:insideH w:val="single" w:sz="4" w:space="0" w:color="CBD5E1"/>
          <w:insideV w:val="none"/>
        </w:tblBorders>
        <w:tblCellMar>
          <w:top w:w="80" w:type="dxa"/>
          <w:bottom w:w="80" w:type="dxa"/>
          <w:left w:w="120" w:type="dxa"/>
          <w:right w:w="120" w:type="dxa"/>
        </w:tblCellMar>
      </w:tblPr>
      <w:tblGrid>
        <w:gridCol w:w="1920"/>
        <w:gridCol w:w="1920"/>
        <w:gridCol w:w="1920"/>
        <w:gridCol w:w="1920"/>
        <w:gridCol w:w="1920"/>
      </w:tblGrid>
      <w:tr>
        <w:trPr>
          <w:tblHeader/>
          <w:cantSplit/>
        </w:trPr>
        <w:tc>
          <w:tcPr>
            <w:tcW w:type="dxa" w:w="576"/>
            <w:vAlign w:val="center"/>
            <w:shd w:fill="1B365D"/>
          </w:tcPr>
          <w:p>
            <w:pPr>
              <w:spacing w:before="40" w:after="40" w:line="276" w:lineRule="auto"/>
            </w:pPr>
            <w:r>
              <w:rPr>
                <w:rFonts w:ascii="微软雅黑" w:hAnsi="微软雅黑" w:eastAsia="微软雅黑" w:cs="微软雅黑"/>
                <w:b/>
                <w:i w:val="0"/>
                <w:color w:val="FFFFFF"/>
                <w:sz w:val="18"/>
              </w:rPr>
              <w:t>序号</w:t>
            </w:r>
          </w:p>
        </w:tc>
        <w:tc>
          <w:tcPr>
            <w:tcW w:type="dxa" w:w="1296"/>
            <w:vAlign w:val="center"/>
            <w:shd w:fill="1B365D"/>
          </w:tcPr>
          <w:p>
            <w:pPr>
              <w:spacing w:before="40" w:after="40" w:line="276" w:lineRule="auto"/>
            </w:pPr>
            <w:r>
              <w:rPr>
                <w:rFonts w:ascii="微软雅黑" w:hAnsi="微软雅黑" w:eastAsia="微软雅黑" w:cs="微软雅黑"/>
                <w:b/>
                <w:i w:val="0"/>
                <w:color w:val="FFFFFF"/>
                <w:sz w:val="18"/>
              </w:rPr>
              <w:t>姓名</w:t>
            </w:r>
          </w:p>
        </w:tc>
        <w:tc>
          <w:tcPr>
            <w:tcW w:type="dxa" w:w="1296"/>
            <w:vAlign w:val="center"/>
            <w:shd w:fill="1B365D"/>
          </w:tcPr>
          <w:p>
            <w:pPr>
              <w:spacing w:before="40" w:after="40" w:line="276" w:lineRule="auto"/>
            </w:pPr>
            <w:r>
              <w:rPr>
                <w:rFonts w:ascii="微软雅黑" w:hAnsi="微软雅黑" w:eastAsia="微软雅黑" w:cs="微软雅黑"/>
                <w:b/>
                <w:i w:val="0"/>
                <w:color w:val="FFFFFF"/>
                <w:sz w:val="18"/>
              </w:rPr>
              <w:t>学号</w:t>
            </w:r>
          </w:p>
        </w:tc>
        <w:tc>
          <w:tcPr>
            <w:tcW w:type="dxa" w:w="2880"/>
            <w:vAlign w:val="center"/>
            <w:shd w:fill="1B365D"/>
          </w:tcPr>
          <w:p>
            <w:pPr>
              <w:spacing w:before="40" w:after="40" w:line="276" w:lineRule="auto"/>
            </w:pPr>
            <w:r>
              <w:rPr>
                <w:rFonts w:ascii="微软雅黑" w:hAnsi="微软雅黑" w:eastAsia="微软雅黑" w:cs="微软雅黑"/>
                <w:b/>
                <w:i w:val="0"/>
                <w:color w:val="FFFFFF"/>
                <w:sz w:val="18"/>
              </w:rPr>
              <w:t>核心分工角色 (Designated Role)</w:t>
            </w:r>
          </w:p>
        </w:tc>
        <w:tc>
          <w:tcPr>
            <w:tcW w:type="dxa" w:w="3312"/>
            <w:vAlign w:val="center"/>
            <w:shd w:fill="1B365D"/>
          </w:tcPr>
          <w:p>
            <w:pPr>
              <w:spacing w:before="40" w:after="40" w:line="276" w:lineRule="auto"/>
            </w:pPr>
            <w:r>
              <w:rPr>
                <w:rFonts w:ascii="微软雅黑" w:hAnsi="微软雅黑" w:eastAsia="微软雅黑" w:cs="微软雅黑"/>
                <w:b/>
                <w:i w:val="0"/>
                <w:color w:val="FFFFFF"/>
                <w:sz w:val="18"/>
              </w:rPr>
              <w:t>主要负责阶段与核心职责</w:t>
            </w:r>
          </w:p>
        </w:tc>
      </w:tr>
      <w:tr>
        <w:trPr>
          <w:cantSplit/>
        </w:trPr>
        <w:tc>
          <w:tcPr>
            <w:tcW w:type="dxa" w:w="576"/>
            <w:vAlign w:val="center"/>
          </w:tcPr>
          <w:p>
            <w:pPr>
              <w:spacing w:before="30" w:after="30" w:line="276" w:lineRule="auto"/>
            </w:pPr>
            <w:r>
              <w:rPr>
                <w:rFonts w:ascii="微软雅黑" w:hAnsi="微软雅黑" w:eastAsia="微软雅黑" w:cs="微软雅黑"/>
                <w:b w:val="0"/>
                <w:i w:val="0"/>
                <w:color w:val="1F2937"/>
                <w:sz w:val="17"/>
              </w:rPr>
              <w:t>1</w:t>
            </w:r>
          </w:p>
        </w:tc>
        <w:tc>
          <w:tcPr>
            <w:tcW w:type="dxa" w:w="1296"/>
            <w:vAlign w:val="center"/>
          </w:tcPr>
          <w:p>
            <w:pPr>
              <w:spacing w:before="30" w:after="30" w:line="276" w:lineRule="auto"/>
            </w:pPr>
            <w:r>
              <w:rPr>
                <w:rFonts w:ascii="微软雅黑" w:hAnsi="微软雅黑" w:eastAsia="微软雅黑" w:cs="微软雅黑"/>
                <w:b w:val="0"/>
                <w:i w:val="0"/>
                <w:color w:val="1F2937"/>
                <w:sz w:val="17"/>
              </w:rPr>
              <w:t>吴宇轩</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50106070</w:t>
            </w:r>
          </w:p>
        </w:tc>
        <w:tc>
          <w:tcPr>
            <w:tcW w:type="dxa" w:w="2880"/>
            <w:vAlign w:val="center"/>
          </w:tcPr>
          <w:p>
            <w:pPr>
              <w:spacing w:before="30" w:after="30" w:line="276" w:lineRule="auto"/>
            </w:pPr>
            <w:r>
              <w:rPr>
                <w:rFonts w:ascii="微软雅黑" w:hAnsi="微软雅黑" w:eastAsia="微软雅黑" w:cs="微软雅黑"/>
                <w:b w:val="0"/>
                <w:i w:val="0"/>
                <w:color w:val="1F2937"/>
                <w:sz w:val="17"/>
              </w:rPr>
              <w:t>项目主管兼队长 (PM &amp; Lead)</w:t>
            </w:r>
          </w:p>
        </w:tc>
        <w:tc>
          <w:tcPr>
            <w:tcW w:type="dxa" w:w="3312"/>
            <w:vAlign w:val="center"/>
          </w:tcPr>
          <w:p>
            <w:pPr>
              <w:spacing w:before="30" w:after="30" w:line="276" w:lineRule="auto"/>
            </w:pPr>
            <w:r>
              <w:rPr>
                <w:rFonts w:ascii="微软雅黑" w:hAnsi="微软雅黑" w:eastAsia="微软雅黑" w:cs="微软雅黑"/>
                <w:b w:val="0"/>
                <w:i w:val="0"/>
                <w:color w:val="1F2937"/>
                <w:sz w:val="17"/>
              </w:rPr>
              <w:t>全阶段：总体进度、导师沟通、MyAberdeen 提交、架构统筹</w:t>
            </w:r>
          </w:p>
        </w:tc>
      </w:tr>
      <w:tr>
        <w:trPr>
          <w:cantSplit/>
        </w:trPr>
        <w:tc>
          <w:tcPr>
            <w:tcW w:type="dxa" w:w="576"/>
            <w:vAlign w:val="center"/>
            <w:shd w:fill="F1F5F9"/>
          </w:tcPr>
          <w:p>
            <w:pPr>
              <w:spacing w:before="30" w:after="30" w:line="276" w:lineRule="auto"/>
            </w:pPr>
            <w:r>
              <w:rPr>
                <w:rFonts w:ascii="微软雅黑" w:hAnsi="微软雅黑" w:eastAsia="微软雅黑" w:cs="微软雅黑"/>
                <w:b w:val="0"/>
                <w:i w:val="0"/>
                <w:color w:val="1F2937"/>
                <w:sz w:val="17"/>
              </w:rPr>
              <w:t>2</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林泳桐</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50106038</w:t>
            </w:r>
          </w:p>
        </w:tc>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首席业务分析师 (Lead BA)</w:t>
            </w:r>
          </w:p>
        </w:tc>
        <w:tc>
          <w:tcPr>
            <w:tcW w:type="dxa" w:w="3312"/>
            <w:vAlign w:val="center"/>
            <w:shd w:fill="F1F5F9"/>
          </w:tcPr>
          <w:p>
            <w:pPr>
              <w:spacing w:before="30" w:after="30" w:line="276" w:lineRule="auto"/>
            </w:pPr>
            <w:r>
              <w:rPr>
                <w:rFonts w:ascii="微软雅黑" w:hAnsi="微软雅黑" w:eastAsia="微软雅黑" w:cs="微软雅黑"/>
                <w:b w:val="0"/>
                <w:i w:val="0"/>
                <w:color w:val="1F2937"/>
                <w:sz w:val="17"/>
              </w:rPr>
              <w:t>Phase 1: 用户需求捕获、业务场景分析、功能性/非功能性需求定义</w:t>
            </w:r>
          </w:p>
        </w:tc>
      </w:tr>
      <w:tr>
        <w:trPr>
          <w:cantSplit/>
        </w:trPr>
        <w:tc>
          <w:tcPr>
            <w:tcW w:type="dxa" w:w="576"/>
            <w:vAlign w:val="center"/>
          </w:tcPr>
          <w:p>
            <w:pPr>
              <w:spacing w:before="30" w:after="30" w:line="276" w:lineRule="auto"/>
            </w:pPr>
            <w:r>
              <w:rPr>
                <w:rFonts w:ascii="微软雅黑" w:hAnsi="微软雅黑" w:eastAsia="微软雅黑" w:cs="微软雅黑"/>
                <w:b w:val="0"/>
                <w:i w:val="0"/>
                <w:color w:val="1F2937"/>
                <w:sz w:val="17"/>
              </w:rPr>
              <w:t>3</w:t>
            </w:r>
          </w:p>
        </w:tc>
        <w:tc>
          <w:tcPr>
            <w:tcW w:type="dxa" w:w="1296"/>
            <w:vAlign w:val="center"/>
          </w:tcPr>
          <w:p>
            <w:pPr>
              <w:spacing w:before="30" w:after="30" w:line="276" w:lineRule="auto"/>
            </w:pPr>
            <w:r>
              <w:rPr>
                <w:rFonts w:ascii="微软雅黑" w:hAnsi="微软雅黑" w:eastAsia="微软雅黑" w:cs="微软雅黑"/>
                <w:b w:val="0"/>
                <w:i w:val="0"/>
                <w:color w:val="1F2937"/>
                <w:sz w:val="17"/>
              </w:rPr>
              <w:t>王思鉴</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50106045</w:t>
            </w:r>
          </w:p>
        </w:tc>
        <w:tc>
          <w:tcPr>
            <w:tcW w:type="dxa" w:w="2880"/>
            <w:vAlign w:val="center"/>
          </w:tcPr>
          <w:p>
            <w:pPr>
              <w:spacing w:before="30" w:after="30" w:line="276" w:lineRule="auto"/>
            </w:pPr>
            <w:r>
              <w:rPr>
                <w:rFonts w:ascii="微软雅黑" w:hAnsi="微软雅黑" w:eastAsia="微软雅黑" w:cs="微软雅黑"/>
                <w:b w:val="0"/>
                <w:i w:val="0"/>
                <w:color w:val="1F2937"/>
                <w:sz w:val="17"/>
              </w:rPr>
              <w:t>系统架构师 (System Architect)</w:t>
            </w:r>
          </w:p>
        </w:tc>
        <w:tc>
          <w:tcPr>
            <w:tcW w:type="dxa" w:w="3312"/>
            <w:vAlign w:val="center"/>
          </w:tcPr>
          <w:p>
            <w:pPr>
              <w:spacing w:before="30" w:after="30" w:line="276" w:lineRule="auto"/>
            </w:pPr>
            <w:r>
              <w:rPr>
                <w:rFonts w:ascii="微软雅黑" w:hAnsi="微软雅黑" w:eastAsia="微软雅黑" w:cs="微软雅黑"/>
                <w:b w:val="0"/>
                <w:i w:val="0"/>
                <w:color w:val="1F2937"/>
                <w:sz w:val="17"/>
              </w:rPr>
              <w:t>Phase 2: 知识图谱 Ontology 建模、UML 用例图/类图/时序图设计</w:t>
            </w:r>
          </w:p>
        </w:tc>
      </w:tr>
      <w:tr>
        <w:trPr>
          <w:cantSplit/>
        </w:trPr>
        <w:tc>
          <w:tcPr>
            <w:tcW w:type="dxa" w:w="576"/>
            <w:vAlign w:val="center"/>
            <w:shd w:fill="F1F5F9"/>
          </w:tcPr>
          <w:p>
            <w:pPr>
              <w:spacing w:before="30" w:after="30" w:line="276" w:lineRule="auto"/>
            </w:pPr>
            <w:r>
              <w:rPr>
                <w:rFonts w:ascii="微软雅黑" w:hAnsi="微软雅黑" w:eastAsia="微软雅黑" w:cs="微软雅黑"/>
                <w:b w:val="0"/>
                <w:i w:val="0"/>
                <w:color w:val="1F2937"/>
                <w:sz w:val="17"/>
              </w:rPr>
              <w:t>4</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江昊</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50106065</w:t>
            </w:r>
          </w:p>
        </w:tc>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PoC 核心研发主管 (Lead Dev)</w:t>
            </w:r>
          </w:p>
        </w:tc>
        <w:tc>
          <w:tcPr>
            <w:tcW w:type="dxa" w:w="3312"/>
            <w:vAlign w:val="center"/>
            <w:shd w:fill="F1F5F9"/>
          </w:tcPr>
          <w:p>
            <w:pPr>
              <w:spacing w:before="30" w:after="30" w:line="276" w:lineRule="auto"/>
            </w:pPr>
            <w:r>
              <w:rPr>
                <w:rFonts w:ascii="微软雅黑" w:hAnsi="微软雅黑" w:eastAsia="微软雅黑" w:cs="微软雅黑"/>
                <w:b w:val="0"/>
                <w:i w:val="0"/>
                <w:color w:val="1F2937"/>
                <w:sz w:val="17"/>
              </w:rPr>
              <w:t>Phase 3: Neo4j 数据库部署、GraphRAG 核心检索算法与图谱构建</w:t>
            </w:r>
          </w:p>
        </w:tc>
      </w:tr>
      <w:tr>
        <w:trPr>
          <w:cantSplit/>
        </w:trPr>
        <w:tc>
          <w:tcPr>
            <w:tcW w:type="dxa" w:w="576"/>
            <w:vAlign w:val="center"/>
          </w:tcPr>
          <w:p>
            <w:pPr>
              <w:spacing w:before="30" w:after="30" w:line="276" w:lineRule="auto"/>
            </w:pPr>
            <w:r>
              <w:rPr>
                <w:rFonts w:ascii="微软雅黑" w:hAnsi="微软雅黑" w:eastAsia="微软雅黑" w:cs="微软雅黑"/>
                <w:b w:val="0"/>
                <w:i w:val="0"/>
                <w:color w:val="1F2937"/>
                <w:sz w:val="17"/>
              </w:rPr>
              <w:t>5</w:t>
            </w:r>
          </w:p>
        </w:tc>
        <w:tc>
          <w:tcPr>
            <w:tcW w:type="dxa" w:w="1296"/>
            <w:vAlign w:val="center"/>
          </w:tcPr>
          <w:p>
            <w:pPr>
              <w:spacing w:before="30" w:after="30" w:line="276" w:lineRule="auto"/>
            </w:pPr>
            <w:r>
              <w:rPr>
                <w:rFonts w:ascii="微软雅黑" w:hAnsi="微软雅黑" w:eastAsia="微软雅黑" w:cs="微软雅黑"/>
                <w:b w:val="0"/>
                <w:i w:val="0"/>
                <w:color w:val="1F2937"/>
                <w:sz w:val="17"/>
              </w:rPr>
              <w:t>谢炜昕</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50106034</w:t>
            </w:r>
          </w:p>
        </w:tc>
        <w:tc>
          <w:tcPr>
            <w:tcW w:type="dxa" w:w="2880"/>
            <w:vAlign w:val="center"/>
          </w:tcPr>
          <w:p>
            <w:pPr>
              <w:spacing w:before="30" w:after="30" w:line="276" w:lineRule="auto"/>
            </w:pPr>
            <w:r>
              <w:rPr>
                <w:rFonts w:ascii="微软雅黑" w:hAnsi="微软雅黑" w:eastAsia="微软雅黑" w:cs="微软雅黑"/>
                <w:b w:val="0"/>
                <w:i w:val="0"/>
                <w:color w:val="1F2937"/>
                <w:sz w:val="17"/>
              </w:rPr>
              <w:t>QA与技术报告主管 (QA &amp; Report)</w:t>
            </w:r>
          </w:p>
        </w:tc>
        <w:tc>
          <w:tcPr>
            <w:tcW w:type="dxa" w:w="3312"/>
            <w:vAlign w:val="center"/>
          </w:tcPr>
          <w:p>
            <w:pPr>
              <w:spacing w:before="30" w:after="30" w:line="276" w:lineRule="auto"/>
            </w:pPr>
            <w:r>
              <w:rPr>
                <w:rFonts w:ascii="微软雅黑" w:hAnsi="微软雅黑" w:eastAsia="微软雅黑" w:cs="微软雅黑"/>
                <w:b w:val="0"/>
                <w:i w:val="0"/>
                <w:color w:val="1F2937"/>
                <w:sz w:val="17"/>
              </w:rPr>
              <w:t>Phase 4: 技术报告大纲编排、学术诚信把控、文档版本整合与质检</w:t>
            </w:r>
          </w:p>
        </w:tc>
      </w:tr>
      <w:tr>
        <w:trPr>
          <w:cantSplit/>
        </w:trPr>
        <w:tc>
          <w:tcPr>
            <w:tcW w:type="dxa" w:w="576"/>
            <w:vAlign w:val="center"/>
            <w:shd w:fill="F1F5F9"/>
          </w:tcPr>
          <w:p>
            <w:pPr>
              <w:spacing w:before="30" w:after="30" w:line="276" w:lineRule="auto"/>
            </w:pPr>
            <w:r>
              <w:rPr>
                <w:rFonts w:ascii="微软雅黑" w:hAnsi="微软雅黑" w:eastAsia="微软雅黑" w:cs="微软雅黑"/>
                <w:b w:val="0"/>
                <w:i w:val="0"/>
                <w:color w:val="1F2937"/>
                <w:sz w:val="17"/>
              </w:rPr>
              <w:t>6</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张梓健</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50106035</w:t>
            </w:r>
          </w:p>
        </w:tc>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业务分析师 (Business Analyst)</w:t>
            </w:r>
          </w:p>
        </w:tc>
        <w:tc>
          <w:tcPr>
            <w:tcW w:type="dxa" w:w="3312"/>
            <w:vAlign w:val="center"/>
            <w:shd w:fill="F1F5F9"/>
          </w:tcPr>
          <w:p>
            <w:pPr>
              <w:spacing w:before="30" w:after="30" w:line="276" w:lineRule="auto"/>
            </w:pPr>
            <w:r>
              <w:rPr>
                <w:rFonts w:ascii="微软雅黑" w:hAnsi="微软雅黑" w:eastAsia="微软雅黑" w:cs="微软雅黑"/>
                <w:b w:val="0"/>
                <w:i w:val="0"/>
                <w:color w:val="1F2937"/>
                <w:sz w:val="17"/>
              </w:rPr>
              <w:t>Phase 1: 用户故事 (User Stories) 编写、验收准则与业务流程图</w:t>
            </w:r>
          </w:p>
        </w:tc>
      </w:tr>
      <w:tr>
        <w:trPr>
          <w:cantSplit/>
        </w:trPr>
        <w:tc>
          <w:tcPr>
            <w:tcW w:type="dxa" w:w="576"/>
            <w:vAlign w:val="center"/>
          </w:tcPr>
          <w:p>
            <w:pPr>
              <w:spacing w:before="30" w:after="30" w:line="276" w:lineRule="auto"/>
            </w:pPr>
            <w:r>
              <w:rPr>
                <w:rFonts w:ascii="微软雅黑" w:hAnsi="微软雅黑" w:eastAsia="微软雅黑" w:cs="微软雅黑"/>
                <w:b w:val="0"/>
                <w:i w:val="0"/>
                <w:color w:val="1F2937"/>
                <w:sz w:val="17"/>
              </w:rPr>
              <w:t>7</w:t>
            </w:r>
          </w:p>
        </w:tc>
        <w:tc>
          <w:tcPr>
            <w:tcW w:type="dxa" w:w="1296"/>
            <w:vAlign w:val="center"/>
          </w:tcPr>
          <w:p>
            <w:pPr>
              <w:spacing w:before="30" w:after="30" w:line="276" w:lineRule="auto"/>
            </w:pPr>
            <w:r>
              <w:rPr>
                <w:rFonts w:ascii="微软雅黑" w:hAnsi="微软雅黑" w:eastAsia="微软雅黑" w:cs="微软雅黑"/>
                <w:b w:val="0"/>
                <w:i w:val="0"/>
                <w:color w:val="1F2937"/>
                <w:sz w:val="17"/>
              </w:rPr>
              <w:t>习羽赛</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50105989</w:t>
            </w:r>
          </w:p>
        </w:tc>
        <w:tc>
          <w:tcPr>
            <w:tcW w:type="dxa" w:w="2880"/>
            <w:vAlign w:val="center"/>
          </w:tcPr>
          <w:p>
            <w:pPr>
              <w:spacing w:before="30" w:after="30" w:line="276" w:lineRule="auto"/>
            </w:pPr>
            <w:r>
              <w:rPr>
                <w:rFonts w:ascii="微软雅黑" w:hAnsi="微软雅黑" w:eastAsia="微软雅黑" w:cs="微软雅黑"/>
                <w:b w:val="0"/>
                <w:i w:val="0"/>
                <w:color w:val="1F2937"/>
                <w:sz w:val="17"/>
              </w:rPr>
              <w:t>UI/UX 设计师 (UI/UX Designer)</w:t>
            </w:r>
          </w:p>
        </w:tc>
        <w:tc>
          <w:tcPr>
            <w:tcW w:type="dxa" w:w="3312"/>
            <w:vAlign w:val="center"/>
          </w:tcPr>
          <w:p>
            <w:pPr>
              <w:spacing w:before="30" w:after="30" w:line="276" w:lineRule="auto"/>
            </w:pPr>
            <w:r>
              <w:rPr>
                <w:rFonts w:ascii="微软雅黑" w:hAnsi="微软雅黑" w:eastAsia="微软雅黑" w:cs="微软雅黑"/>
                <w:b w:val="0"/>
                <w:i w:val="0"/>
                <w:color w:val="1F2937"/>
                <w:sz w:val="17"/>
              </w:rPr>
              <w:t>Phase 2: 系统前端原型设计、高保真线框图、能力雷达图可视化交互</w:t>
            </w:r>
          </w:p>
        </w:tc>
      </w:tr>
      <w:tr>
        <w:trPr>
          <w:cantSplit/>
        </w:trPr>
        <w:tc>
          <w:tcPr>
            <w:tcW w:type="dxa" w:w="576"/>
            <w:vAlign w:val="center"/>
            <w:shd w:fill="F1F5F9"/>
          </w:tcPr>
          <w:p>
            <w:pPr>
              <w:spacing w:before="30" w:after="30" w:line="276" w:lineRule="auto"/>
            </w:pPr>
            <w:r>
              <w:rPr>
                <w:rFonts w:ascii="微软雅黑" w:hAnsi="微软雅黑" w:eastAsia="微软雅黑" w:cs="微软雅黑"/>
                <w:b w:val="0"/>
                <w:i w:val="0"/>
                <w:color w:val="1F2937"/>
                <w:sz w:val="17"/>
              </w:rPr>
              <w:t>8</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董思钦</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50106060</w:t>
            </w:r>
          </w:p>
        </w:tc>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PoC 业务逻辑研发 (Logic Dev)</w:t>
            </w:r>
          </w:p>
        </w:tc>
        <w:tc>
          <w:tcPr>
            <w:tcW w:type="dxa" w:w="3312"/>
            <w:vAlign w:val="center"/>
            <w:shd w:fill="F1F5F9"/>
          </w:tcPr>
          <w:p>
            <w:pPr>
              <w:spacing w:before="30" w:after="30" w:line="276" w:lineRule="auto"/>
            </w:pPr>
            <w:r>
              <w:rPr>
                <w:rFonts w:ascii="微软雅黑" w:hAnsi="微软雅黑" w:eastAsia="微软雅黑" w:cs="微软雅黑"/>
                <w:b w:val="0"/>
                <w:i w:val="0"/>
                <w:color w:val="1F2937"/>
                <w:sz w:val="17"/>
              </w:rPr>
              <w:t>Phase 3: 大模型诊断 API 对接、错题考点提取、在线刷题互动引擎</w:t>
            </w:r>
          </w:p>
        </w:tc>
      </w:tr>
      <w:tr>
        <w:trPr>
          <w:cantSplit/>
        </w:trPr>
        <w:tc>
          <w:tcPr>
            <w:tcW w:type="dxa" w:w="576"/>
            <w:vAlign w:val="center"/>
          </w:tcPr>
          <w:p>
            <w:pPr>
              <w:spacing w:before="30" w:after="30" w:line="276" w:lineRule="auto"/>
            </w:pPr>
            <w:r>
              <w:rPr>
                <w:rFonts w:ascii="微软雅黑" w:hAnsi="微软雅黑" w:eastAsia="微软雅黑" w:cs="微软雅黑"/>
                <w:b w:val="0"/>
                <w:i w:val="0"/>
                <w:color w:val="1F2937"/>
                <w:sz w:val="17"/>
              </w:rPr>
              <w:t>9</w:t>
            </w:r>
          </w:p>
        </w:tc>
        <w:tc>
          <w:tcPr>
            <w:tcW w:type="dxa" w:w="1296"/>
            <w:vAlign w:val="center"/>
          </w:tcPr>
          <w:p>
            <w:pPr>
              <w:spacing w:before="30" w:after="30" w:line="276" w:lineRule="auto"/>
            </w:pPr>
            <w:r>
              <w:rPr>
                <w:rFonts w:ascii="微软雅黑" w:hAnsi="微软雅黑" w:eastAsia="微软雅黑" w:cs="微软雅黑"/>
                <w:b w:val="0"/>
                <w:i w:val="0"/>
                <w:color w:val="1F2937"/>
                <w:sz w:val="17"/>
              </w:rPr>
              <w:t>杨明杰</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50106061</w:t>
            </w:r>
          </w:p>
        </w:tc>
        <w:tc>
          <w:tcPr>
            <w:tcW w:type="dxa" w:w="2880"/>
            <w:vAlign w:val="center"/>
          </w:tcPr>
          <w:p>
            <w:pPr>
              <w:spacing w:before="30" w:after="30" w:line="276" w:lineRule="auto"/>
            </w:pPr>
            <w:r>
              <w:rPr>
                <w:rFonts w:ascii="微软雅黑" w:hAnsi="微软雅黑" w:eastAsia="微软雅黑" w:cs="微软雅黑"/>
                <w:b w:val="0"/>
                <w:i w:val="0"/>
                <w:color w:val="1F2937"/>
                <w:sz w:val="17"/>
              </w:rPr>
              <w:t>软件测试与手册主管 (Testing)</w:t>
            </w:r>
          </w:p>
        </w:tc>
        <w:tc>
          <w:tcPr>
            <w:tcW w:type="dxa" w:w="3312"/>
            <w:vAlign w:val="center"/>
          </w:tcPr>
          <w:p>
            <w:pPr>
              <w:spacing w:before="30" w:after="30" w:line="276" w:lineRule="auto"/>
            </w:pPr>
            <w:r>
              <w:rPr>
                <w:rFonts w:ascii="微软雅黑" w:hAnsi="微软雅黑" w:eastAsia="微软雅黑" w:cs="微软雅黑"/>
                <w:b w:val="0"/>
                <w:i w:val="0"/>
                <w:color w:val="1F2937"/>
                <w:sz w:val="17"/>
              </w:rPr>
              <w:t>Phase 4: pytest 自动化测试编写、Cypher 单元测试、8-12页用户手册</w:t>
            </w:r>
          </w:p>
        </w:tc>
      </w:tr>
      <w:tr>
        <w:trPr>
          <w:cantSplit/>
        </w:trPr>
        <w:tc>
          <w:tcPr>
            <w:tcW w:type="dxa" w:w="576"/>
            <w:vAlign w:val="center"/>
            <w:shd w:fill="F1F5F9"/>
          </w:tcPr>
          <w:p>
            <w:pPr>
              <w:spacing w:before="30" w:after="30" w:line="276" w:lineRule="auto"/>
            </w:pPr>
            <w:r>
              <w:rPr>
                <w:rFonts w:ascii="微软雅黑" w:hAnsi="微软雅黑" w:eastAsia="微软雅黑" w:cs="微软雅黑"/>
                <w:b w:val="0"/>
                <w:i w:val="0"/>
                <w:color w:val="1F2937"/>
                <w:sz w:val="17"/>
              </w:rPr>
              <w:t>10</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梁子铉</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50106037</w:t>
            </w:r>
          </w:p>
        </w:tc>
        <w:tc>
          <w:tcPr>
            <w:tcW w:type="dxa" w:w="2880"/>
            <w:vAlign w:val="center"/>
            <w:shd w:fill="F1F5F9"/>
          </w:tcPr>
          <w:p>
            <w:pPr>
              <w:spacing w:before="30" w:after="30" w:line="276" w:lineRule="auto"/>
            </w:pPr>
            <w:r>
              <w:rPr>
                <w:rFonts w:ascii="微软雅黑" w:hAnsi="微软雅黑" w:eastAsia="微软雅黑" w:cs="微软雅黑"/>
                <w:b w:val="0"/>
                <w:i w:val="0"/>
                <w:color w:val="1F2937"/>
                <w:sz w:val="17"/>
              </w:rPr>
              <w:t>答辩媒体与部署主管 (Media Lead)</w:t>
            </w:r>
          </w:p>
        </w:tc>
        <w:tc>
          <w:tcPr>
            <w:tcW w:type="dxa" w:w="3312"/>
            <w:vAlign w:val="center"/>
            <w:shd w:fill="F1F5F9"/>
          </w:tcPr>
          <w:p>
            <w:pPr>
              <w:spacing w:before="30" w:after="30" w:line="276" w:lineRule="auto"/>
            </w:pPr>
            <w:r>
              <w:rPr>
                <w:rFonts w:ascii="微软雅黑" w:hAnsi="微软雅黑" w:eastAsia="微软雅黑" w:cs="微软雅黑"/>
                <w:b w:val="0"/>
                <w:i w:val="0"/>
                <w:color w:val="1F2937"/>
                <w:sz w:val="17"/>
              </w:rPr>
              <w:t>Phase 4: 15分钟答辩演示视频录制、PPT排版美化、环境一键部署脚本</w:t>
            </w:r>
          </w:p>
        </w:tc>
      </w:tr>
    </w:tbl>
    <w:p>
      <w:pPr>
        <w:keepNext/>
        <w:spacing w:before="200" w:after="60" w:line="276" w:lineRule="auto"/>
      </w:pPr>
      <w:r>
        <w:rPr>
          <w:rFonts w:ascii="微软雅黑" w:hAnsi="微软雅黑" w:eastAsia="微软雅黑" w:cs="微软雅黑"/>
          <w:b/>
          <w:i w:val="0"/>
          <w:color w:val="1E3A8A"/>
          <w:sz w:val="22"/>
        </w:rPr>
        <w:t>2.1 10 位组员趣味破冰问答摘要（增进团队了解与信任）</w:t>
      </w:r>
    </w:p>
    <w:p>
      <w:pPr>
        <w:spacing w:before="0" w:after="70" w:line="288" w:lineRule="auto"/>
      </w:pPr>
      <w:r>
        <w:rPr>
          <w:rFonts w:ascii="微软雅黑" w:hAnsi="微软雅黑" w:eastAsia="微软雅黑" w:cs="微软雅黑"/>
          <w:b w:val="0"/>
          <w:i w:val="0"/>
          <w:color w:val="1F2937"/>
          <w:sz w:val="18"/>
        </w:rPr>
        <w:t>根据 Practical 1 的要求，全组同学完成了 socards.org 的 5 道经典破冰问题，展现了我们团队兼具技术热情与多元生活风貌的一面：</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吴宇轩 (队长 / 深圳)：</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林泳桐 (需求主管 / 广州)：</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王思鉴 (系统架构 / 佛山)：</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江昊 (核心研发 / 深圳)：</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谢炜昕 (QA主管 / 珠海)：</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张梓健 (业务分析 / 东莞)：</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习羽赛 (UI设计 / 成都)：</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董思钦 (逻辑研发 / 汕头)：</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杨明杰 (测试主管 / 中山)：</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梁子铉 (答辩主管 / 湛江)：</w:t>
      </w:r>
    </w:p>
    <w:p>
      <w:r>
        <w:br w:type="page"/>
      </w:r>
    </w:p>
    <w:p>
      <w:pPr>
        <w:keepNext/>
        <w:spacing w:before="280" w:after="80" w:line="276" w:lineRule="auto"/>
      </w:pPr>
      <w:r>
        <w:rPr>
          <w:rFonts w:ascii="微软雅黑" w:hAnsi="微软雅黑" w:eastAsia="微软雅黑" w:cs="微软雅黑"/>
          <w:b/>
          <w:i w:val="0"/>
          <w:color w:val="1B365D"/>
          <w:sz w:val="26"/>
        </w:rPr>
        <w:t>三、 开题报告（Project Proposal）核心设计精要与组内审查重点</w:t>
      </w:r>
    </w:p>
    <w:p>
      <w:pPr>
        <w:spacing w:before="0" w:after="70" w:line="288" w:lineRule="auto"/>
      </w:pPr>
      <w:r>
        <w:rPr>
          <w:rFonts w:ascii="微软雅黑" w:hAnsi="微软雅黑" w:eastAsia="微软雅黑" w:cs="微软雅黑"/>
          <w:b w:val="0"/>
          <w:i w:val="0"/>
          <w:color w:val="1F2937"/>
          <w:sz w:val="18"/>
        </w:rPr>
        <w:t>请大家务必了解我们系统的核心特色，这不仅是开题报告的核心，更是后续 12 周 PoC 研发和技术报告考核的基石：</w:t>
      </w:r>
    </w:p>
    <w:p>
      <w:pPr>
        <w:keepNext/>
        <w:spacing w:before="200" w:after="60" w:line="276" w:lineRule="auto"/>
      </w:pPr>
      <w:r>
        <w:rPr>
          <w:rFonts w:ascii="微软雅黑" w:hAnsi="微软雅黑" w:eastAsia="微软雅黑" w:cs="微软雅黑"/>
          <w:b/>
          <w:i w:val="0"/>
          <w:color w:val="1E3A8A"/>
          <w:sz w:val="22"/>
        </w:rPr>
        <w:t>3.1 为什么我们做这个选题？（解决痛点）</w:t>
      </w:r>
    </w:p>
    <w:p>
      <w:pPr>
        <w:spacing w:before="0" w:after="70" w:line="288" w:lineRule="auto"/>
      </w:pPr>
      <w:r>
        <w:rPr>
          <w:rFonts w:ascii="微软雅黑" w:hAnsi="微软雅黑" w:eastAsia="微软雅黑" w:cs="微软雅黑"/>
          <w:b w:val="0"/>
          <w:i w:val="0"/>
          <w:color w:val="1F2937"/>
          <w:sz w:val="18"/>
        </w:rPr>
        <w:t>目前高校大学生在面对多门高难度专业课（如计算机、经管、金融、法学）复习备考时，普遍存在三大瓶颈：</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知识点碎片化，认知负荷超载：</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刷题陷入盲目死记硬背：</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现有 AI 工具缺乏诊断反馈：</w:t>
      </w:r>
    </w:p>
    <w:p>
      <w:pPr>
        <w:keepNext/>
        <w:spacing w:before="200" w:after="60" w:line="276" w:lineRule="auto"/>
      </w:pPr>
      <w:r>
        <w:rPr>
          <w:rFonts w:ascii="微软雅黑" w:hAnsi="微软雅黑" w:eastAsia="微软雅黑" w:cs="微软雅黑"/>
          <w:b/>
          <w:i w:val="0"/>
          <w:color w:val="1E3A8A"/>
          <w:sz w:val="22"/>
        </w:rPr>
        <w:t>3.2 我们的解法与核心创新（GraphRAG + Neo4j 错题诊断辅导）</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Neo4j 知识图谱体系：</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首创'易错陷阱'因果关系图谱：</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大模型自动考点与排雷诊断抽取：</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4. 启发式苏格拉底导学助教：</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5. 五维能力雷达图可视化：</w:t>
      </w:r>
    </w:p>
    <w:p>
      <w:pPr>
        <w:keepNext/>
        <w:spacing w:before="200" w:after="60" w:line="276" w:lineRule="auto"/>
      </w:pPr>
      <w:r>
        <w:rPr>
          <w:rFonts w:ascii="微软雅黑" w:hAnsi="微软雅黑" w:eastAsia="微软雅黑" w:cs="微软雅黑"/>
          <w:b/>
          <w:i w:val="0"/>
          <w:color w:val="1E3A8A"/>
          <w:sz w:val="22"/>
        </w:rPr>
        <w:t>3.3 现有工程实测亮点（已在本地代码中验证）</w:t>
      </w:r>
    </w:p>
    <w:tbl>
      <w:tblPr>
        <w:tblW w:type="auto" w:w="0"/>
        <w:jc w:val="center"/>
        <w:tblLook w:firstColumn="1" w:firstRow="1" w:lastColumn="0" w:lastRow="0" w:noHBand="0" w:noVBand="1" w:val="04A0"/>
      </w:tblPr>
      <w:tblGrid>
        <w:gridCol w:w="9602"/>
      </w:tblGrid>
      <w:tr>
        <w:tc>
          <w:tcPr>
            <w:tcW w:type="dxa" w:w="9360"/>
            <w:shd w:fill="ECFDF5"/>
            <w:tcBorders>
              <w:top w:val="none"/>
              <w:left w:val="single" w:sz="24" w:space="0" w:color="059669"/>
              <w:bottom w:val="none"/>
              <w:right w:val="none"/>
            </w:tcBorders>
          </w:tcPr>
          <w:p>
            <w:pPr>
              <w:spacing w:before="60" w:after="60" w:line="283" w:lineRule="auto"/>
            </w:pPr>
            <w:r>
              <w:rPr>
                <w:rFonts w:ascii="微软雅黑" w:hAnsi="微软雅黑" w:eastAsia="微软雅黑" w:cs="微软雅黑"/>
                <w:b w:val="0"/>
                <w:i w:val="0"/>
                <w:color w:val="1B365D"/>
                <w:sz w:val="18"/>
              </w:rPr>
              <w:t>💡 【现有技术资产实测成绩】</w:t>
              <w:br/>
              <w:t>我们在本地现有原型（graphrag（终））中，测试了包含高中物理、计算机、经管、专业法学等多学科真题集：</w:t>
              <w:br/>
              <w:t>• 在专业法学测试中，知识图谱排雷诊断带来 +2.50% 的准确率提升；在计算机学科测试中带来 +2.00% 的准确率提升！</w:t>
              <w:br/>
              <w:t>• 引入了'学术仲裁门禁 (Confidence Threshold &gt;= 85%)'，置信度不足的噪声连边自动过滤，保证辅导诊断的绝对权威性。</w:t>
              <w:br/>
              <w:t>这些扎实的实验数据已作为有力论据写入开题报告正文，将在导师和考官面前形成强大的降维打击！</w:t>
            </w:r>
          </w:p>
        </w:tc>
      </w:tr>
    </w:tbl>
    <w:p>
      <w:r>
        <w:br w:type="page"/>
      </w:r>
    </w:p>
    <w:p>
      <w:pPr>
        <w:keepNext/>
        <w:spacing w:before="280" w:after="80" w:line="276" w:lineRule="auto"/>
      </w:pPr>
      <w:r>
        <w:rPr>
          <w:rFonts w:ascii="微软雅黑" w:hAnsi="微软雅黑" w:eastAsia="微软雅黑" w:cs="微软雅黑"/>
          <w:b/>
          <w:i w:val="0"/>
          <w:color w:val="1B365D"/>
          <w:sz w:val="26"/>
        </w:rPr>
        <w:t>四、 致 Academic Supervisor 导师初次开题会议准备指南</w:t>
      </w:r>
    </w:p>
    <w:p>
      <w:pPr>
        <w:spacing w:before="0" w:after="70" w:line="288" w:lineRule="auto"/>
      </w:pPr>
      <w:r>
        <w:rPr>
          <w:rFonts w:ascii="微软雅黑" w:hAnsi="微软雅黑" w:eastAsia="微软雅黑" w:cs="微软雅黑"/>
          <w:b w:val="0"/>
          <w:i w:val="0"/>
          <w:color w:val="1F2937"/>
          <w:sz w:val="18"/>
        </w:rPr>
        <w:t>根据课程安排，9 月 18 日 MyAberdeen 已正式公布导师名单。Group 5 (BSc BMIS) 的导师已确认为 Dr. Shahzad Mumtaz (shahzad.mumtaz@abdn.ac.uk)。队长吴宇轩将在开题前发送预约邮件。</w:t>
      </w:r>
    </w:p>
    <w:p>
      <w:pPr>
        <w:keepNext/>
        <w:spacing w:before="200" w:after="60" w:line="276" w:lineRule="auto"/>
      </w:pPr>
      <w:r>
        <w:rPr>
          <w:rFonts w:ascii="微软雅黑" w:hAnsi="微软雅黑" w:eastAsia="微软雅黑" w:cs="微软雅黑"/>
          <w:b/>
          <w:i w:val="0"/>
          <w:color w:val="1E3A8A"/>
          <w:sz w:val="22"/>
        </w:rPr>
        <w:t>4.1 会议拟讨论的四大议程（Agenda）</w:t>
      </w:r>
    </w:p>
    <w:p>
      <w:pPr>
        <w:spacing w:before="20" w:after="40" w:line="283" w:lineRule="auto"/>
        <w:ind w:left="360"/>
      </w:pPr>
      <w:r>
        <w:rPr>
          <w:rFonts w:ascii="微软雅黑" w:hAnsi="微软雅黑" w:eastAsia="微软雅黑" w:cs="微软雅黑"/>
          <w:b/>
          <w:i w:val="0"/>
          <w:color w:val="1B365D"/>
          <w:sz w:val="18"/>
        </w:rPr>
        <w:t xml:space="preserve">1. </w:t>
      </w:r>
      <w:r>
        <w:rPr>
          <w:rFonts w:ascii="微软雅黑" w:hAnsi="微软雅黑" w:eastAsia="微软雅黑" w:cs="微软雅黑"/>
          <w:b w:val="0"/>
          <w:i w:val="0"/>
          <w:color w:val="1F2937"/>
          <w:sz w:val="18"/>
        </w:rPr>
        <w:t>团队介绍：向导师介绍 Group 5 的 10 位同学、各自的专业背景与在项目中的分工矩阵。</w:t>
      </w:r>
    </w:p>
    <w:p>
      <w:pPr>
        <w:spacing w:before="20" w:after="40" w:line="283" w:lineRule="auto"/>
        <w:ind w:left="360"/>
      </w:pPr>
      <w:r>
        <w:rPr>
          <w:rFonts w:ascii="微软雅黑" w:hAnsi="微软雅黑" w:eastAsia="微软雅黑" w:cs="微软雅黑"/>
          <w:b/>
          <w:i w:val="0"/>
          <w:color w:val="1B365D"/>
          <w:sz w:val="18"/>
        </w:rPr>
        <w:t xml:space="preserve">2. </w:t>
      </w:r>
      <w:r>
        <w:rPr>
          <w:rFonts w:ascii="微软雅黑" w:hAnsi="微软雅黑" w:eastAsia="微软雅黑" w:cs="微软雅黑"/>
          <w:b w:val="0"/>
          <w:i w:val="0"/>
          <w:color w:val="1F2937"/>
          <w:sz w:val="18"/>
        </w:rPr>
        <w:t>选题汇报：阐述 Smart Study Assistant System 的立项背景、痛点、GraphRAG 核心技术方案与五维能力图。</w:t>
      </w:r>
    </w:p>
    <w:p>
      <w:pPr>
        <w:spacing w:before="20" w:after="40" w:line="283" w:lineRule="auto"/>
        <w:ind w:left="360"/>
      </w:pPr>
      <w:r>
        <w:rPr>
          <w:rFonts w:ascii="微软雅黑" w:hAnsi="微软雅黑" w:eastAsia="微软雅黑" w:cs="微软雅黑"/>
          <w:b/>
          <w:i w:val="0"/>
          <w:color w:val="1B365D"/>
          <w:sz w:val="18"/>
        </w:rPr>
        <w:t xml:space="preserve">3. </w:t>
      </w:r>
      <w:r>
        <w:rPr>
          <w:rFonts w:ascii="微软雅黑" w:hAnsi="微软雅黑" w:eastAsia="微软雅黑" w:cs="微软雅黑"/>
          <w:b w:val="0"/>
          <w:i w:val="0"/>
          <w:color w:val="1F2937"/>
          <w:sz w:val="18"/>
        </w:rPr>
        <w:t>可行性论证：向导师汇报现有实验数据（+2.5% Law, +2.0% CS）与 12 周 WBS 进度计划，证明 12 月 14 日交付 PoC 的高度可行性。</w:t>
      </w:r>
    </w:p>
    <w:p>
      <w:pPr>
        <w:spacing w:before="20" w:after="40" w:line="283" w:lineRule="auto"/>
        <w:ind w:left="360"/>
      </w:pPr>
      <w:r>
        <w:rPr>
          <w:rFonts w:ascii="微软雅黑" w:hAnsi="微软雅黑" w:eastAsia="微软雅黑" w:cs="微软雅黑"/>
          <w:b/>
          <w:i w:val="0"/>
          <w:color w:val="1B365D"/>
          <w:sz w:val="18"/>
        </w:rPr>
        <w:t xml:space="preserve">4. </w:t>
      </w:r>
      <w:r>
        <w:rPr>
          <w:rFonts w:ascii="微软雅黑" w:hAnsi="微软雅黑" w:eastAsia="微软雅黑" w:cs="微软雅黑"/>
          <w:b w:val="0"/>
          <w:i w:val="0"/>
          <w:color w:val="1F2937"/>
          <w:sz w:val="18"/>
        </w:rPr>
        <w:t>听取导师反馈：就功能边界、后续 4 次 Project Updates 提交节奏以及评分侧重点听取导师指导。</w:t>
      </w:r>
    </w:p>
    <w:p>
      <w:pPr>
        <w:keepNext/>
        <w:spacing w:before="200" w:after="60" w:line="276" w:lineRule="auto"/>
      </w:pPr>
      <w:r>
        <w:rPr>
          <w:rFonts w:ascii="微软雅黑" w:hAnsi="微软雅黑" w:eastAsia="微软雅黑" w:cs="微软雅黑"/>
          <w:b/>
          <w:i w:val="0"/>
          <w:color w:val="1E3A8A"/>
          <w:sz w:val="22"/>
        </w:rPr>
        <w:t>4.2 全组会前准备建议（组员各自分工）</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 xml:space="preserve">• </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 xml:space="preserve">• </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 xml:space="preserve">• </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 xml:space="preserve">• </w:t>
      </w:r>
    </w:p>
    <w:p>
      <w:pPr>
        <w:spacing w:before="20" w:after="30" w:line="283"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 xml:space="preserve">• </w:t>
      </w:r>
    </w:p>
    <w:p>
      <w:r>
        <w:br w:type="page"/>
      </w:r>
    </w:p>
    <w:p>
      <w:pPr>
        <w:keepNext/>
        <w:spacing w:before="280" w:after="80" w:line="276" w:lineRule="auto"/>
      </w:pPr>
      <w:r>
        <w:rPr>
          <w:rFonts w:ascii="微软雅黑" w:hAnsi="微软雅黑" w:eastAsia="微软雅黑" w:cs="微软雅黑"/>
          <w:b/>
          <w:i w:val="0"/>
          <w:color w:val="1B365D"/>
          <w:sz w:val="26"/>
        </w:rPr>
        <w:t>五、 组员审阅核对与正式提交前签字确认表</w:t>
      </w:r>
    </w:p>
    <w:p>
      <w:pPr>
        <w:spacing w:before="0" w:after="70" w:line="288" w:lineRule="auto"/>
      </w:pPr>
      <w:r>
        <w:rPr>
          <w:rFonts w:ascii="微软雅黑" w:hAnsi="微软雅黑" w:eastAsia="微软雅黑" w:cs="微软雅黑"/>
          <w:b w:val="0"/>
          <w:i w:val="0"/>
          <w:color w:val="1F2937"/>
          <w:sz w:val="18"/>
        </w:rPr>
        <w:t>【全员打勾确认】请各位同学认真阅读开题报告全文及本核对册，核对个人信息、分工职责与交付计划，在下表对应行进行确认。确认后可在小组群内回复'【姓名】已确认'，队长将进行最终确认并盖章封存。</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CellMar>
          <w:top w:w="80" w:type="dxa"/>
          <w:bottom w:w="80" w:type="dxa"/>
          <w:left w:w="120" w:type="dxa"/>
          <w:right w:w="120" w:type="dxa"/>
        </w:tblCellMar>
      </w:tblPr>
      <w:tblGrid>
        <w:gridCol w:w="1600"/>
        <w:gridCol w:w="1600"/>
        <w:gridCol w:w="1600"/>
        <w:gridCol w:w="1600"/>
        <w:gridCol w:w="1600"/>
        <w:gridCol w:w="1600"/>
      </w:tblGrid>
      <w:tr>
        <w:trPr>
          <w:tblHeader/>
          <w:cantSplit/>
        </w:trPr>
        <w:tc>
          <w:tcPr>
            <w:tcW w:type="dxa" w:w="1152"/>
            <w:vAlign w:val="center"/>
            <w:shd w:fill="0F172A"/>
          </w:tcPr>
          <w:p>
            <w:pPr>
              <w:spacing w:before="40" w:after="40" w:line="276" w:lineRule="auto"/>
            </w:pPr>
            <w:r>
              <w:rPr>
                <w:rFonts w:ascii="微软雅黑" w:hAnsi="微软雅黑" w:eastAsia="微软雅黑" w:cs="微软雅黑"/>
                <w:b/>
                <w:i w:val="0"/>
                <w:color w:val="FFFFFF"/>
                <w:sz w:val="18"/>
              </w:rPr>
              <w:t>姓名</w:t>
            </w:r>
          </w:p>
        </w:tc>
        <w:tc>
          <w:tcPr>
            <w:tcW w:type="dxa" w:w="1296"/>
            <w:vAlign w:val="center"/>
            <w:shd w:fill="0F172A"/>
          </w:tcPr>
          <w:p>
            <w:pPr>
              <w:spacing w:before="40" w:after="40" w:line="276" w:lineRule="auto"/>
            </w:pPr>
            <w:r>
              <w:rPr>
                <w:rFonts w:ascii="微软雅黑" w:hAnsi="微软雅黑" w:eastAsia="微软雅黑" w:cs="微软雅黑"/>
                <w:b/>
                <w:i w:val="0"/>
                <w:color w:val="FFFFFF"/>
                <w:sz w:val="18"/>
              </w:rPr>
              <w:t>学号</w:t>
            </w:r>
          </w:p>
        </w:tc>
        <w:tc>
          <w:tcPr>
            <w:tcW w:type="dxa" w:w="1728"/>
            <w:vAlign w:val="center"/>
            <w:shd w:fill="0F172A"/>
          </w:tcPr>
          <w:p>
            <w:pPr>
              <w:spacing w:before="40" w:after="40" w:line="276" w:lineRule="auto"/>
            </w:pPr>
            <w:r>
              <w:rPr>
                <w:rFonts w:ascii="微软雅黑" w:hAnsi="微软雅黑" w:eastAsia="微软雅黑" w:cs="微软雅黑"/>
                <w:b/>
                <w:i w:val="0"/>
                <w:color w:val="FFFFFF"/>
                <w:sz w:val="18"/>
              </w:rPr>
              <w:t>指定角色</w:t>
            </w:r>
          </w:p>
        </w:tc>
        <w:tc>
          <w:tcPr>
            <w:tcW w:type="dxa" w:w="2736"/>
            <w:vAlign w:val="center"/>
            <w:shd w:fill="0F172A"/>
          </w:tcPr>
          <w:p>
            <w:pPr>
              <w:spacing w:before="40" w:after="40" w:line="276" w:lineRule="auto"/>
            </w:pPr>
            <w:r>
              <w:rPr>
                <w:rFonts w:ascii="微软雅黑" w:hAnsi="微软雅黑" w:eastAsia="微软雅黑" w:cs="微软雅黑"/>
                <w:b/>
                <w:i w:val="0"/>
                <w:color w:val="FFFFFF"/>
                <w:sz w:val="18"/>
              </w:rPr>
              <w:t>审阅重点</w:t>
            </w:r>
          </w:p>
        </w:tc>
        <w:tc>
          <w:tcPr>
            <w:tcW w:type="dxa" w:w="1296"/>
            <w:vAlign w:val="center"/>
            <w:shd w:fill="0F172A"/>
          </w:tcPr>
          <w:p>
            <w:pPr>
              <w:spacing w:before="40" w:after="40" w:line="276" w:lineRule="auto"/>
            </w:pPr>
            <w:r>
              <w:rPr>
                <w:rFonts w:ascii="微软雅黑" w:hAnsi="微软雅黑" w:eastAsia="微软雅黑" w:cs="微软雅黑"/>
                <w:b/>
                <w:i w:val="0"/>
                <w:color w:val="FFFFFF"/>
                <w:sz w:val="18"/>
              </w:rPr>
              <w:t>确认状态</w:t>
            </w:r>
          </w:p>
        </w:tc>
        <w:tc>
          <w:tcPr>
            <w:tcW w:type="dxa" w:w="1152"/>
            <w:vAlign w:val="center"/>
            <w:shd w:fill="0F172A"/>
          </w:tcPr>
          <w:p>
            <w:pPr>
              <w:spacing w:before="40" w:after="40" w:line="276" w:lineRule="auto"/>
            </w:pPr>
            <w:r>
              <w:rPr>
                <w:rFonts w:ascii="微软雅黑" w:hAnsi="微软雅黑" w:eastAsia="微软雅黑" w:cs="微软雅黑"/>
                <w:b/>
                <w:i w:val="0"/>
                <w:color w:val="FFFFFF"/>
                <w:sz w:val="18"/>
              </w:rPr>
              <w:t>签名 / 日期</w:t>
            </w:r>
          </w:p>
        </w:tc>
      </w:tr>
      <w:tr>
        <w:trPr>
          <w:cantSplit/>
        </w:trPr>
        <w:tc>
          <w:tcPr>
            <w:tcW w:type="dxa" w:w="1152"/>
            <w:vAlign w:val="center"/>
          </w:tcPr>
          <w:p>
            <w:pPr>
              <w:spacing w:before="30" w:after="30" w:line="276" w:lineRule="auto"/>
            </w:pPr>
            <w:r>
              <w:rPr>
                <w:rFonts w:ascii="微软雅黑" w:hAnsi="微软雅黑" w:eastAsia="微软雅黑" w:cs="微软雅黑"/>
                <w:b w:val="0"/>
                <w:i w:val="0"/>
                <w:color w:val="1F2937"/>
                <w:sz w:val="17"/>
              </w:rPr>
              <w:t>吴宇轩</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50106070</w:t>
            </w:r>
          </w:p>
        </w:tc>
        <w:tc>
          <w:tcPr>
            <w:tcW w:type="dxa" w:w="1728"/>
            <w:vAlign w:val="center"/>
          </w:tcPr>
          <w:p>
            <w:pPr>
              <w:spacing w:before="30" w:after="30" w:line="276" w:lineRule="auto"/>
            </w:pPr>
            <w:r>
              <w:rPr>
                <w:rFonts w:ascii="微软雅黑" w:hAnsi="微软雅黑" w:eastAsia="微软雅黑" w:cs="微软雅黑"/>
                <w:b w:val="0"/>
                <w:i w:val="0"/>
                <w:color w:val="1F2937"/>
                <w:sz w:val="17"/>
              </w:rPr>
              <w:t>队长 / PM</w:t>
            </w:r>
          </w:p>
        </w:tc>
        <w:tc>
          <w:tcPr>
            <w:tcW w:type="dxa" w:w="2736"/>
            <w:vAlign w:val="center"/>
          </w:tcPr>
          <w:p>
            <w:pPr>
              <w:spacing w:before="30" w:after="30" w:line="276" w:lineRule="auto"/>
            </w:pPr>
            <w:r>
              <w:rPr>
                <w:rFonts w:ascii="微软雅黑" w:hAnsi="微软雅黑" w:eastAsia="微软雅黑" w:cs="微软雅黑"/>
                <w:b w:val="0"/>
                <w:i w:val="0"/>
                <w:color w:val="1F2937"/>
                <w:sz w:val="17"/>
              </w:rPr>
              <w:t>总体时间线、MyAberdeen 提交规范、导师沟通</w:t>
            </w:r>
          </w:p>
        </w:tc>
        <w:tc>
          <w:tcPr>
            <w:tcW w:type="dxa" w:w="1296"/>
            <w:vAlign w:val="center"/>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tcPr>
          <w:p>
            <w:pPr>
              <w:spacing w:before="30" w:after="30" w:line="276" w:lineRule="auto"/>
            </w:pPr>
            <w:r>
              <w:rPr>
                <w:rFonts w:ascii="微软雅黑" w:hAnsi="微软雅黑" w:eastAsia="微软雅黑" w:cs="微软雅黑"/>
                <w:b w:val="0"/>
                <w:i w:val="0"/>
                <w:color w:val="1F2937"/>
                <w:sz w:val="17"/>
              </w:rPr>
              <w:t>吴宇轩 (2026-09-16)</w:t>
            </w:r>
          </w:p>
        </w:tc>
      </w:tr>
      <w:tr>
        <w:trPr>
          <w:cantSplit/>
        </w:trPr>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林泳桐</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50106038</w:t>
            </w:r>
          </w:p>
        </w:tc>
        <w:tc>
          <w:tcPr>
            <w:tcW w:type="dxa" w:w="1728"/>
            <w:vAlign w:val="center"/>
            <w:shd w:fill="F1F5F9"/>
          </w:tcPr>
          <w:p>
            <w:pPr>
              <w:spacing w:before="30" w:after="30" w:line="276" w:lineRule="auto"/>
            </w:pPr>
            <w:r>
              <w:rPr>
                <w:rFonts w:ascii="微软雅黑" w:hAnsi="微软雅黑" w:eastAsia="微软雅黑" w:cs="微软雅黑"/>
                <w:b w:val="0"/>
                <w:i w:val="0"/>
                <w:color w:val="1F2937"/>
                <w:sz w:val="17"/>
              </w:rPr>
              <w:t>首席业务分析师</w:t>
            </w:r>
          </w:p>
        </w:tc>
        <w:tc>
          <w:tcPr>
            <w:tcW w:type="dxa" w:w="2736"/>
            <w:vAlign w:val="center"/>
            <w:shd w:fill="F1F5F9"/>
          </w:tcPr>
          <w:p>
            <w:pPr>
              <w:spacing w:before="30" w:after="30" w:line="276" w:lineRule="auto"/>
            </w:pPr>
            <w:r>
              <w:rPr>
                <w:rFonts w:ascii="微软雅黑" w:hAnsi="微软雅黑" w:eastAsia="微软雅黑" w:cs="微软雅黑"/>
                <w:b w:val="0"/>
                <w:i w:val="0"/>
                <w:color w:val="1F2937"/>
                <w:sz w:val="17"/>
              </w:rPr>
              <w:t>Section 2 问题痛点定义、Section 4 目标 1/2</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林泳桐 (2026-09-16)</w:t>
            </w:r>
          </w:p>
        </w:tc>
      </w:tr>
      <w:tr>
        <w:trPr>
          <w:cantSplit/>
        </w:trPr>
        <w:tc>
          <w:tcPr>
            <w:tcW w:type="dxa" w:w="1152"/>
            <w:vAlign w:val="center"/>
          </w:tcPr>
          <w:p>
            <w:pPr>
              <w:spacing w:before="30" w:after="30" w:line="276" w:lineRule="auto"/>
            </w:pPr>
            <w:r>
              <w:rPr>
                <w:rFonts w:ascii="微软雅黑" w:hAnsi="微软雅黑" w:eastAsia="微软雅黑" w:cs="微软雅黑"/>
                <w:b w:val="0"/>
                <w:i w:val="0"/>
                <w:color w:val="1F2937"/>
                <w:sz w:val="17"/>
              </w:rPr>
              <w:t>王思鉴</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50106045</w:t>
            </w:r>
          </w:p>
        </w:tc>
        <w:tc>
          <w:tcPr>
            <w:tcW w:type="dxa" w:w="1728"/>
            <w:vAlign w:val="center"/>
          </w:tcPr>
          <w:p>
            <w:pPr>
              <w:spacing w:before="30" w:after="30" w:line="276" w:lineRule="auto"/>
            </w:pPr>
            <w:r>
              <w:rPr>
                <w:rFonts w:ascii="微软雅黑" w:hAnsi="微软雅黑" w:eastAsia="微软雅黑" w:cs="微软雅黑"/>
                <w:b w:val="0"/>
                <w:i w:val="0"/>
                <w:color w:val="1F2937"/>
                <w:sz w:val="17"/>
              </w:rPr>
              <w:t>系统架构师</w:t>
            </w:r>
          </w:p>
        </w:tc>
        <w:tc>
          <w:tcPr>
            <w:tcW w:type="dxa" w:w="2736"/>
            <w:vAlign w:val="center"/>
          </w:tcPr>
          <w:p>
            <w:pPr>
              <w:spacing w:before="30" w:after="30" w:line="276" w:lineRule="auto"/>
            </w:pPr>
            <w:r>
              <w:rPr>
                <w:rFonts w:ascii="微软雅黑" w:hAnsi="微软雅黑" w:eastAsia="微软雅黑" w:cs="微软雅黑"/>
                <w:b w:val="0"/>
                <w:i w:val="0"/>
                <w:color w:val="1F2937"/>
                <w:sz w:val="17"/>
              </w:rPr>
              <w:t>Section 3 系统解法、Neo4j 图谱模型、UML规划</w:t>
            </w:r>
          </w:p>
        </w:tc>
        <w:tc>
          <w:tcPr>
            <w:tcW w:type="dxa" w:w="1296"/>
            <w:vAlign w:val="center"/>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tcPr>
          <w:p>
            <w:pPr>
              <w:spacing w:before="30" w:after="30" w:line="276" w:lineRule="auto"/>
            </w:pPr>
            <w:r>
              <w:rPr>
                <w:rFonts w:ascii="微软雅黑" w:hAnsi="微软雅黑" w:eastAsia="微软雅黑" w:cs="微软雅黑"/>
                <w:b w:val="0"/>
                <w:i w:val="0"/>
                <w:color w:val="1F2937"/>
                <w:sz w:val="17"/>
              </w:rPr>
              <w:t>王思鉴 (2026-09-16)</w:t>
            </w:r>
          </w:p>
        </w:tc>
      </w:tr>
      <w:tr>
        <w:trPr>
          <w:cantSplit/>
        </w:trPr>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江昊</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50106065</w:t>
            </w:r>
          </w:p>
        </w:tc>
        <w:tc>
          <w:tcPr>
            <w:tcW w:type="dxa" w:w="1728"/>
            <w:vAlign w:val="center"/>
            <w:shd w:fill="F1F5F9"/>
          </w:tcPr>
          <w:p>
            <w:pPr>
              <w:spacing w:before="30" w:after="30" w:line="276" w:lineRule="auto"/>
            </w:pPr>
            <w:r>
              <w:rPr>
                <w:rFonts w:ascii="微软雅黑" w:hAnsi="微软雅黑" w:eastAsia="微软雅黑" w:cs="微软雅黑"/>
                <w:b w:val="0"/>
                <w:i w:val="0"/>
                <w:color w:val="1F2937"/>
                <w:sz w:val="17"/>
              </w:rPr>
              <w:t>核心研发主管</w:t>
            </w:r>
          </w:p>
        </w:tc>
        <w:tc>
          <w:tcPr>
            <w:tcW w:type="dxa" w:w="2736"/>
            <w:vAlign w:val="center"/>
            <w:shd w:fill="F1F5F9"/>
          </w:tcPr>
          <w:p>
            <w:pPr>
              <w:spacing w:before="30" w:after="30" w:line="276" w:lineRule="auto"/>
            </w:pPr>
            <w:r>
              <w:rPr>
                <w:rFonts w:ascii="微软雅黑" w:hAnsi="微软雅黑" w:eastAsia="微软雅黑" w:cs="微软雅黑"/>
                <w:b w:val="0"/>
                <w:i w:val="0"/>
                <w:color w:val="1F2937"/>
                <w:sz w:val="17"/>
              </w:rPr>
              <w:t>Section 3 GraphRAG 算法引擎、Cypher 接口规划</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江昊 (2026-09-16)</w:t>
            </w:r>
          </w:p>
        </w:tc>
      </w:tr>
      <w:tr>
        <w:trPr>
          <w:cantSplit/>
        </w:trPr>
        <w:tc>
          <w:tcPr>
            <w:tcW w:type="dxa" w:w="1152"/>
            <w:vAlign w:val="center"/>
          </w:tcPr>
          <w:p>
            <w:pPr>
              <w:spacing w:before="30" w:after="30" w:line="276" w:lineRule="auto"/>
            </w:pPr>
            <w:r>
              <w:rPr>
                <w:rFonts w:ascii="微软雅黑" w:hAnsi="微软雅黑" w:eastAsia="微软雅黑" w:cs="微软雅黑"/>
                <w:b w:val="0"/>
                <w:i w:val="0"/>
                <w:color w:val="1F2937"/>
                <w:sz w:val="17"/>
              </w:rPr>
              <w:t>谢炜昕</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50106034</w:t>
            </w:r>
          </w:p>
        </w:tc>
        <w:tc>
          <w:tcPr>
            <w:tcW w:type="dxa" w:w="1728"/>
            <w:vAlign w:val="center"/>
          </w:tcPr>
          <w:p>
            <w:pPr>
              <w:spacing w:before="30" w:after="30" w:line="276" w:lineRule="auto"/>
            </w:pPr>
            <w:r>
              <w:rPr>
                <w:rFonts w:ascii="微软雅黑" w:hAnsi="微软雅黑" w:eastAsia="微软雅黑" w:cs="微软雅黑"/>
                <w:b w:val="0"/>
                <w:i w:val="0"/>
                <w:color w:val="1F2937"/>
                <w:sz w:val="17"/>
              </w:rPr>
              <w:t>QA与报告主管</w:t>
            </w:r>
          </w:p>
        </w:tc>
        <w:tc>
          <w:tcPr>
            <w:tcW w:type="dxa" w:w="2736"/>
            <w:vAlign w:val="center"/>
          </w:tcPr>
          <w:p>
            <w:pPr>
              <w:spacing w:before="30" w:after="30" w:line="276" w:lineRule="auto"/>
            </w:pPr>
            <w:r>
              <w:rPr>
                <w:rFonts w:ascii="微软雅黑" w:hAnsi="微软雅黑" w:eastAsia="微软雅黑" w:cs="微软雅黑"/>
                <w:b w:val="0"/>
                <w:i w:val="0"/>
                <w:color w:val="1F2937"/>
                <w:sz w:val="17"/>
              </w:rPr>
              <w:t>Section 8 格式合规、Turnitin 规范、文献引用</w:t>
            </w:r>
          </w:p>
        </w:tc>
        <w:tc>
          <w:tcPr>
            <w:tcW w:type="dxa" w:w="1296"/>
            <w:vAlign w:val="center"/>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tcPr>
          <w:p>
            <w:pPr>
              <w:spacing w:before="30" w:after="30" w:line="276" w:lineRule="auto"/>
            </w:pPr>
            <w:r>
              <w:rPr>
                <w:rFonts w:ascii="微软雅黑" w:hAnsi="微软雅黑" w:eastAsia="微软雅黑" w:cs="微软雅黑"/>
                <w:b w:val="0"/>
                <w:i w:val="0"/>
                <w:color w:val="1F2937"/>
                <w:sz w:val="17"/>
              </w:rPr>
              <w:t>谢炜昕 (2026-09-16)</w:t>
            </w:r>
          </w:p>
        </w:tc>
      </w:tr>
      <w:tr>
        <w:trPr>
          <w:cantSplit/>
        </w:trPr>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张梓健</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50106035</w:t>
            </w:r>
          </w:p>
        </w:tc>
        <w:tc>
          <w:tcPr>
            <w:tcW w:type="dxa" w:w="1728"/>
            <w:vAlign w:val="center"/>
            <w:shd w:fill="F1F5F9"/>
          </w:tcPr>
          <w:p>
            <w:pPr>
              <w:spacing w:before="30" w:after="30" w:line="276" w:lineRule="auto"/>
            </w:pPr>
            <w:r>
              <w:rPr>
                <w:rFonts w:ascii="微软雅黑" w:hAnsi="微软雅黑" w:eastAsia="微软雅黑" w:cs="微软雅黑"/>
                <w:b w:val="0"/>
                <w:i w:val="0"/>
                <w:color w:val="1F2937"/>
                <w:sz w:val="17"/>
              </w:rPr>
              <w:t>业务分析师</w:t>
            </w:r>
          </w:p>
        </w:tc>
        <w:tc>
          <w:tcPr>
            <w:tcW w:type="dxa" w:w="2736"/>
            <w:vAlign w:val="center"/>
            <w:shd w:fill="F1F5F9"/>
          </w:tcPr>
          <w:p>
            <w:pPr>
              <w:spacing w:before="30" w:after="30" w:line="276" w:lineRule="auto"/>
            </w:pPr>
            <w:r>
              <w:rPr>
                <w:rFonts w:ascii="微软雅黑" w:hAnsi="微软雅黑" w:eastAsia="微软雅黑" w:cs="微软雅黑"/>
                <w:b w:val="0"/>
                <w:i w:val="0"/>
                <w:color w:val="1F2937"/>
                <w:sz w:val="17"/>
              </w:rPr>
              <w:t>Section 7 WBS 1.1–1.4 用户故事与验收标准</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张梓健 (2026-09-16)</w:t>
            </w:r>
          </w:p>
        </w:tc>
      </w:tr>
      <w:tr>
        <w:trPr>
          <w:cantSplit/>
        </w:trPr>
        <w:tc>
          <w:tcPr>
            <w:tcW w:type="dxa" w:w="1152"/>
            <w:vAlign w:val="center"/>
          </w:tcPr>
          <w:p>
            <w:pPr>
              <w:spacing w:before="30" w:after="30" w:line="276" w:lineRule="auto"/>
            </w:pPr>
            <w:r>
              <w:rPr>
                <w:rFonts w:ascii="微软雅黑" w:hAnsi="微软雅黑" w:eastAsia="微软雅黑" w:cs="微软雅黑"/>
                <w:b w:val="0"/>
                <w:i w:val="0"/>
                <w:color w:val="1F2937"/>
                <w:sz w:val="17"/>
              </w:rPr>
              <w:t>习羽赛</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50105989</w:t>
            </w:r>
          </w:p>
        </w:tc>
        <w:tc>
          <w:tcPr>
            <w:tcW w:type="dxa" w:w="1728"/>
            <w:vAlign w:val="center"/>
          </w:tcPr>
          <w:p>
            <w:pPr>
              <w:spacing w:before="30" w:after="30" w:line="276" w:lineRule="auto"/>
            </w:pPr>
            <w:r>
              <w:rPr>
                <w:rFonts w:ascii="微软雅黑" w:hAnsi="微软雅黑" w:eastAsia="微软雅黑" w:cs="微软雅黑"/>
                <w:b w:val="0"/>
                <w:i w:val="0"/>
                <w:color w:val="1F2937"/>
                <w:sz w:val="17"/>
              </w:rPr>
              <w:t>UI/UX 设计师</w:t>
            </w:r>
          </w:p>
        </w:tc>
        <w:tc>
          <w:tcPr>
            <w:tcW w:type="dxa" w:w="2736"/>
            <w:vAlign w:val="center"/>
          </w:tcPr>
          <w:p>
            <w:pPr>
              <w:spacing w:before="30" w:after="30" w:line="276" w:lineRule="auto"/>
            </w:pPr>
            <w:r>
              <w:rPr>
                <w:rFonts w:ascii="微软雅黑" w:hAnsi="微软雅黑" w:eastAsia="微软雅黑" w:cs="微软雅黑"/>
                <w:b w:val="0"/>
                <w:i w:val="0"/>
                <w:color w:val="1F2937"/>
                <w:sz w:val="17"/>
              </w:rPr>
              <w:t>Section 3.4 雷达图可视化设计、用户交互流程</w:t>
            </w:r>
          </w:p>
        </w:tc>
        <w:tc>
          <w:tcPr>
            <w:tcW w:type="dxa" w:w="1296"/>
            <w:vAlign w:val="center"/>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tcPr>
          <w:p>
            <w:pPr>
              <w:spacing w:before="30" w:after="30" w:line="276" w:lineRule="auto"/>
            </w:pPr>
            <w:r>
              <w:rPr>
                <w:rFonts w:ascii="微软雅黑" w:hAnsi="微软雅黑" w:eastAsia="微软雅黑" w:cs="微软雅黑"/>
                <w:b w:val="0"/>
                <w:i w:val="0"/>
                <w:color w:val="1F2937"/>
                <w:sz w:val="17"/>
              </w:rPr>
              <w:t>习羽赛 (2026-09-16)</w:t>
            </w:r>
          </w:p>
        </w:tc>
      </w:tr>
      <w:tr>
        <w:trPr>
          <w:cantSplit/>
        </w:trPr>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董思钦</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50106060</w:t>
            </w:r>
          </w:p>
        </w:tc>
        <w:tc>
          <w:tcPr>
            <w:tcW w:type="dxa" w:w="1728"/>
            <w:vAlign w:val="center"/>
            <w:shd w:fill="F1F5F9"/>
          </w:tcPr>
          <w:p>
            <w:pPr>
              <w:spacing w:before="30" w:after="30" w:line="276" w:lineRule="auto"/>
            </w:pPr>
            <w:r>
              <w:rPr>
                <w:rFonts w:ascii="微软雅黑" w:hAnsi="微软雅黑" w:eastAsia="微软雅黑" w:cs="微软雅黑"/>
                <w:b w:val="0"/>
                <w:i w:val="0"/>
                <w:color w:val="1F2937"/>
                <w:sz w:val="17"/>
              </w:rPr>
              <w:t>业务逻辑研发</w:t>
            </w:r>
          </w:p>
        </w:tc>
        <w:tc>
          <w:tcPr>
            <w:tcW w:type="dxa" w:w="2736"/>
            <w:vAlign w:val="center"/>
            <w:shd w:fill="F1F5F9"/>
          </w:tcPr>
          <w:p>
            <w:pPr>
              <w:spacing w:before="30" w:after="30" w:line="276" w:lineRule="auto"/>
            </w:pPr>
            <w:r>
              <w:rPr>
                <w:rFonts w:ascii="微软雅黑" w:hAnsi="微软雅黑" w:eastAsia="微软雅黑" w:cs="微软雅黑"/>
                <w:b w:val="0"/>
                <w:i w:val="0"/>
                <w:color w:val="1F2937"/>
                <w:sz w:val="17"/>
              </w:rPr>
              <w:t>Section 3.3 大模型诊断接口与在线刷题逻辑</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董思钦 (2026-09-16)</w:t>
            </w:r>
          </w:p>
        </w:tc>
      </w:tr>
      <w:tr>
        <w:trPr>
          <w:cantSplit/>
        </w:trPr>
        <w:tc>
          <w:tcPr>
            <w:tcW w:type="dxa" w:w="1152"/>
            <w:vAlign w:val="center"/>
          </w:tcPr>
          <w:p>
            <w:pPr>
              <w:spacing w:before="30" w:after="30" w:line="276" w:lineRule="auto"/>
            </w:pPr>
            <w:r>
              <w:rPr>
                <w:rFonts w:ascii="微软雅黑" w:hAnsi="微软雅黑" w:eastAsia="微软雅黑" w:cs="微软雅黑"/>
                <w:b w:val="0"/>
                <w:i w:val="0"/>
                <w:color w:val="1F2937"/>
                <w:sz w:val="17"/>
              </w:rPr>
              <w:t>杨明杰</w:t>
            </w:r>
          </w:p>
        </w:tc>
        <w:tc>
          <w:tcPr>
            <w:tcW w:type="dxa" w:w="1296"/>
            <w:vAlign w:val="center"/>
          </w:tcPr>
          <w:p>
            <w:pPr>
              <w:spacing w:before="30" w:after="30" w:line="276" w:lineRule="auto"/>
            </w:pPr>
            <w:r>
              <w:rPr>
                <w:rFonts w:ascii="微软雅黑" w:hAnsi="微软雅黑" w:eastAsia="微软雅黑" w:cs="微软雅黑"/>
                <w:b w:val="0"/>
                <w:i w:val="0"/>
                <w:color w:val="1F2937"/>
                <w:sz w:val="17"/>
              </w:rPr>
              <w:t>50106061</w:t>
            </w:r>
          </w:p>
        </w:tc>
        <w:tc>
          <w:tcPr>
            <w:tcW w:type="dxa" w:w="1728"/>
            <w:vAlign w:val="center"/>
          </w:tcPr>
          <w:p>
            <w:pPr>
              <w:spacing w:before="30" w:after="30" w:line="276" w:lineRule="auto"/>
            </w:pPr>
            <w:r>
              <w:rPr>
                <w:rFonts w:ascii="微软雅黑" w:hAnsi="微软雅黑" w:eastAsia="微软雅黑" w:cs="微软雅黑"/>
                <w:b w:val="0"/>
                <w:i w:val="0"/>
                <w:color w:val="1F2937"/>
                <w:sz w:val="17"/>
              </w:rPr>
              <w:t>测试与手册主管</w:t>
            </w:r>
          </w:p>
        </w:tc>
        <w:tc>
          <w:tcPr>
            <w:tcW w:type="dxa" w:w="2736"/>
            <w:vAlign w:val="center"/>
          </w:tcPr>
          <w:p>
            <w:pPr>
              <w:spacing w:before="30" w:after="30" w:line="276" w:lineRule="auto"/>
            </w:pPr>
            <w:r>
              <w:rPr>
                <w:rFonts w:ascii="微软雅黑" w:hAnsi="微软雅黑" w:eastAsia="微软雅黑" w:cs="微软雅黑"/>
                <w:b w:val="0"/>
                <w:i w:val="0"/>
                <w:color w:val="1F2937"/>
                <w:sz w:val="17"/>
              </w:rPr>
              <w:t>Section 4.4 pytest 与 Cypher 覆盖率测试指标</w:t>
            </w:r>
          </w:p>
        </w:tc>
        <w:tc>
          <w:tcPr>
            <w:tcW w:type="dxa" w:w="1296"/>
            <w:vAlign w:val="center"/>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tcPr>
          <w:p>
            <w:pPr>
              <w:spacing w:before="30" w:after="30" w:line="276" w:lineRule="auto"/>
            </w:pPr>
            <w:r>
              <w:rPr>
                <w:rFonts w:ascii="微软雅黑" w:hAnsi="微软雅黑" w:eastAsia="微软雅黑" w:cs="微软雅黑"/>
                <w:b w:val="0"/>
                <w:i w:val="0"/>
                <w:color w:val="1F2937"/>
                <w:sz w:val="17"/>
              </w:rPr>
              <w:t>杨明杰 (2026-09-16)</w:t>
            </w:r>
          </w:p>
        </w:tc>
      </w:tr>
      <w:tr>
        <w:trPr>
          <w:cantSplit/>
        </w:trPr>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梁子铉</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50106037</w:t>
            </w:r>
          </w:p>
        </w:tc>
        <w:tc>
          <w:tcPr>
            <w:tcW w:type="dxa" w:w="1728"/>
            <w:vAlign w:val="center"/>
            <w:shd w:fill="F1F5F9"/>
          </w:tcPr>
          <w:p>
            <w:pPr>
              <w:spacing w:before="30" w:after="30" w:line="276" w:lineRule="auto"/>
            </w:pPr>
            <w:r>
              <w:rPr>
                <w:rFonts w:ascii="微软雅黑" w:hAnsi="微软雅黑" w:eastAsia="微软雅黑" w:cs="微软雅黑"/>
                <w:b w:val="0"/>
                <w:i w:val="0"/>
                <w:color w:val="1F2937"/>
                <w:sz w:val="17"/>
              </w:rPr>
              <w:t>答辩媒体主管</w:t>
            </w:r>
          </w:p>
        </w:tc>
        <w:tc>
          <w:tcPr>
            <w:tcW w:type="dxa" w:w="2736"/>
            <w:vAlign w:val="center"/>
            <w:shd w:fill="F1F5F9"/>
          </w:tcPr>
          <w:p>
            <w:pPr>
              <w:spacing w:before="30" w:after="30" w:line="276" w:lineRule="auto"/>
            </w:pPr>
            <w:r>
              <w:rPr>
                <w:rFonts w:ascii="微软雅黑" w:hAnsi="微软雅黑" w:eastAsia="微软雅黑" w:cs="微软雅黑"/>
                <w:b w:val="0"/>
                <w:i w:val="0"/>
                <w:color w:val="1F2937"/>
                <w:sz w:val="17"/>
              </w:rPr>
              <w:t>Section 7 WBS 4.4 答辩视频与部署演练计划</w:t>
            </w:r>
          </w:p>
        </w:tc>
        <w:tc>
          <w:tcPr>
            <w:tcW w:type="dxa" w:w="1296"/>
            <w:vAlign w:val="center"/>
            <w:shd w:fill="F1F5F9"/>
          </w:tcPr>
          <w:p>
            <w:pPr>
              <w:spacing w:before="30" w:after="30" w:line="276" w:lineRule="auto"/>
            </w:pPr>
            <w:r>
              <w:rPr>
                <w:rFonts w:ascii="微软雅黑" w:hAnsi="微软雅黑" w:eastAsia="微软雅黑" w:cs="微软雅黑"/>
                <w:b w:val="0"/>
                <w:i w:val="0"/>
                <w:color w:val="1F2937"/>
                <w:sz w:val="17"/>
              </w:rPr>
              <w:t>[x] CONFIRMED</w:t>
            </w:r>
          </w:p>
        </w:tc>
        <w:tc>
          <w:tcPr>
            <w:tcW w:type="dxa" w:w="1152"/>
            <w:vAlign w:val="center"/>
            <w:shd w:fill="F1F5F9"/>
          </w:tcPr>
          <w:p>
            <w:pPr>
              <w:spacing w:before="30" w:after="30" w:line="276" w:lineRule="auto"/>
            </w:pPr>
            <w:r>
              <w:rPr>
                <w:rFonts w:ascii="微软雅黑" w:hAnsi="微软雅黑" w:eastAsia="微软雅黑" w:cs="微软雅黑"/>
                <w:b w:val="0"/>
                <w:i w:val="0"/>
                <w:color w:val="1F2937"/>
                <w:sz w:val="17"/>
              </w:rPr>
              <w:t>梁子铉 (2026-09-16)</w:t>
            </w:r>
          </w:p>
        </w:tc>
      </w:tr>
    </w:tbl>
    <w:p>
      <w:pPr>
        <w:spacing w:before="0" w:after="70" w:line="288" w:lineRule="auto"/>
      </w:pPr>
      <w:r>
        <w:rPr>
          <w:rFonts w:ascii="微软雅黑" w:hAnsi="微软雅黑" w:eastAsia="微软雅黑" w:cs="微软雅黑"/>
          <w:b w:val="0"/>
          <w:i w:val="0"/>
          <w:color w:val="1F2937"/>
          <w:sz w:val="18"/>
        </w:rPr>
        <w:br/>
        <w:t>本手册由 JC2001 Group 5 软件工程项目组全体成员共同编制并持有。祝大家第 1 周开题顺利，期末斩获佳绩！🎉</w:t>
      </w:r>
    </w:p>
    <w:sectPr w:rsidR="00FC693F" w:rsidRPr="0006063C" w:rsidSect="00034616">
      <w:headerReference w:type="default" r:id="rId9"/>
      <w:footerReference w:type="default" r:id="rId10"/>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i w:val="0"/>
        <w:color w:val="4B5563"/>
        <w:sz w:val="17"/>
      </w:rPr>
      <w:t xml:space="preserve">第 </w:t>
    </w:r>
    <w:fldSimple w:instr="PAGE"/>
    <w:r>
      <w:rPr>
        <w:rFonts w:ascii="微软雅黑" w:hAnsi="微软雅黑" w:eastAsia="微软雅黑" w:cs="微软雅黑"/>
        <w:b w:val="0"/>
        <w:i w:val="0"/>
        <w:color w:val="4B5563"/>
        <w:sz w:val="17"/>
      </w:rPr>
      <w:t xml:space="preserve"> 页  |  智能学习辅助系统 (GraphRAG &amp; Neo4j 备考诊断平台)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s="微软雅黑"/>
        <w:b w:val="0"/>
        <w:i/>
        <w:color w:val="4B5563"/>
        <w:sz w:val="17"/>
      </w:rPr>
      <w:t>JC2001 软件工程 — Group 5 (BSc BMIS) | 第 1 周全员成果审阅与签字核对册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