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微软雅黑" w:hAnsi="微软雅黑" w:eastAsia="微软雅黑" w:cs="微软雅黑"/>
          <w:b/>
          <w:i w:val="0"/>
          <w:color w:val="1E3A8A"/>
          <w:sz w:val="28"/>
        </w:rPr>
        <w:t>JC2001 软件工程导论 (2026–27 学年)</w:t>
        <w:br/>
      </w:r>
      <w:r>
        <w:rPr>
          <w:rFonts w:ascii="微软雅黑" w:hAnsi="微软雅黑" w:eastAsia="微软雅黑" w:cs="微软雅黑"/>
          <w:b/>
          <w:i w:val="0"/>
          <w:color w:val="1B365D"/>
          <w:sz w:val="36"/>
        </w:rPr>
        <w:t>【软件工程项目规划书 (Project Proposal)】</w:t>
      </w:r>
    </w:p>
    <w:p>
      <w:pPr>
        <w:spacing w:before="80" w:after="240"/>
        <w:jc w:val="center"/>
      </w:pPr>
      <w:r>
        <w:rPr>
          <w:rFonts w:ascii="微软雅黑" w:hAnsi="微软雅黑" w:eastAsia="微软雅黑" w:cs="微软雅黑"/>
          <w:b w:val="0"/>
          <w:i/>
          <w:color w:val="4B5563"/>
          <w:sz w:val="20"/>
        </w:rPr>
        <w:t>项目名称：基于知识图谱与大模型的智能备考诊断辅导系统</w:t>
        <w:br/>
        <w:t>Smart Study Assistant System: A GraphRAG &amp; Knowledge Graph Diagnostic Approach</w:t>
      </w:r>
    </w:p>
    <w:tbl>
      <w:tblPr>
        <w:tblW w:type="auto" w:w="0"/>
        <w:jc w:val="center"/>
        <w:tblLook w:firstColumn="1" w:firstRow="1" w:lastColumn="0" w:lastRow="0" w:noHBand="0" w:noVBand="1" w:val="04A0"/>
        <w:tblBorders>
          <w:top w:val="single" w:sz="8" w:space="0" w:color="1B365D"/>
          <w:left w:val="none"/>
          <w:bottom w:val="single" w:sz="8" w:space="0" w:color="1B365D"/>
          <w:right w:val="none"/>
          <w:insideH w:val="single" w:sz="4" w:space="0" w:color="CBD5E1"/>
          <w:insideV w:val="none"/>
        </w:tblBorders>
        <w:tblCellMar>
          <w:top w:w="90" w:type="dxa"/>
          <w:bottom w:w="90" w:type="dxa"/>
          <w:left w:w="120" w:type="dxa"/>
          <w:right w:w="120" w:type="dxa"/>
        </w:tblCellMar>
      </w:tblPr>
      <w:tblGrid>
        <w:gridCol w:w="2400"/>
        <w:gridCol w:w="2400"/>
        <w:gridCol w:w="2400"/>
        <w:gridCol w:w="2400"/>
      </w:tblGrid>
      <w:tr>
        <w:trPr>
          <w:tblHeader/>
          <w:cantSplit/>
        </w:trPr>
        <w:tc>
          <w:tcPr>
            <w:tcW w:type="dxa" w:w="864"/>
            <w:vAlign w:val="center"/>
            <w:shd w:fill="1B365D"/>
          </w:tcPr>
          <w:p>
            <w:pPr>
              <w:spacing w:before="40" w:after="40" w:line="276" w:lineRule="auto"/>
            </w:pPr>
            <w:r>
              <w:rPr>
                <w:rFonts w:ascii="微软雅黑" w:hAnsi="微软雅黑" w:eastAsia="微软雅黑" w:cs="微软雅黑"/>
                <w:b/>
                <w:i w:val="0"/>
                <w:color w:val="FFFFFF"/>
                <w:sz w:val="18"/>
              </w:rPr>
              <w:t>序号</w:t>
            </w:r>
          </w:p>
        </w:tc>
        <w:tc>
          <w:tcPr>
            <w:tcW w:type="dxa" w:w="1728"/>
            <w:vAlign w:val="center"/>
            <w:shd w:fill="1B365D"/>
          </w:tcPr>
          <w:p>
            <w:pPr>
              <w:spacing w:before="40" w:after="40" w:line="276" w:lineRule="auto"/>
            </w:pPr>
            <w:r>
              <w:rPr>
                <w:rFonts w:ascii="微软雅黑" w:hAnsi="微软雅黑" w:eastAsia="微软雅黑" w:cs="微软雅黑"/>
                <w:b/>
                <w:i w:val="0"/>
                <w:color w:val="FFFFFF"/>
                <w:sz w:val="18"/>
              </w:rPr>
              <w:t>姓名</w:t>
            </w:r>
          </w:p>
        </w:tc>
        <w:tc>
          <w:tcPr>
            <w:tcW w:type="dxa" w:w="1728"/>
            <w:vAlign w:val="center"/>
            <w:shd w:fill="1B365D"/>
          </w:tcPr>
          <w:p>
            <w:pPr>
              <w:spacing w:before="40" w:after="40" w:line="276" w:lineRule="auto"/>
            </w:pPr>
            <w:r>
              <w:rPr>
                <w:rFonts w:ascii="微软雅黑" w:hAnsi="微软雅黑" w:eastAsia="微软雅黑" w:cs="微软雅黑"/>
                <w:b/>
                <w:i w:val="0"/>
                <w:color w:val="FFFFFF"/>
                <w:sz w:val="18"/>
              </w:rPr>
              <w:t>学号</w:t>
            </w:r>
          </w:p>
        </w:tc>
        <w:tc>
          <w:tcPr>
            <w:tcW w:type="dxa" w:w="5040"/>
            <w:vAlign w:val="center"/>
            <w:shd w:fill="1B365D"/>
          </w:tcPr>
          <w:p>
            <w:pPr>
              <w:spacing w:before="40" w:after="40" w:line="276" w:lineRule="auto"/>
            </w:pPr>
            <w:r>
              <w:rPr>
                <w:rFonts w:ascii="微软雅黑" w:hAnsi="微软雅黑" w:eastAsia="微软雅黑" w:cs="微软雅黑"/>
                <w:b/>
                <w:i w:val="0"/>
                <w:color w:val="FFFFFF"/>
                <w:sz w:val="18"/>
              </w:rPr>
              <w:t>专业与项目身份</w:t>
            </w:r>
          </w:p>
        </w:tc>
      </w:tr>
      <w:tr>
        <w:trPr>
          <w:cantSplit/>
        </w:trPr>
        <w:tc>
          <w:tcPr>
            <w:tcW w:type="dxa" w:w="864"/>
            <w:vAlign w:val="center"/>
          </w:tcPr>
          <w:p>
            <w:pPr>
              <w:spacing w:before="30" w:after="30" w:line="276" w:lineRule="auto"/>
            </w:pPr>
            <w:r>
              <w:rPr>
                <w:rFonts w:ascii="微软雅黑" w:hAnsi="微软雅黑" w:eastAsia="微软雅黑" w:cs="微软雅黑"/>
                <w:b w:val="0"/>
                <w:i w:val="0"/>
                <w:color w:val="1F2937"/>
                <w:sz w:val="17"/>
              </w:rPr>
              <w:t>1</w:t>
            </w:r>
          </w:p>
        </w:tc>
        <w:tc>
          <w:tcPr>
            <w:tcW w:type="dxa" w:w="1728"/>
            <w:vAlign w:val="center"/>
          </w:tcPr>
          <w:p>
            <w:pPr>
              <w:spacing w:before="30" w:after="30" w:line="276" w:lineRule="auto"/>
            </w:pPr>
            <w:r>
              <w:rPr>
                <w:rFonts w:ascii="微软雅黑" w:hAnsi="微软雅黑" w:eastAsia="微软雅黑" w:cs="微软雅黑"/>
                <w:b w:val="0"/>
                <w:i w:val="0"/>
                <w:color w:val="1F2937"/>
                <w:sz w:val="17"/>
              </w:rPr>
              <w:t>吴宇轩</w:t>
            </w:r>
          </w:p>
        </w:tc>
        <w:tc>
          <w:tcPr>
            <w:tcW w:type="dxa" w:w="1728"/>
            <w:vAlign w:val="center"/>
          </w:tcPr>
          <w:p>
            <w:pPr>
              <w:spacing w:before="30" w:after="30" w:line="276" w:lineRule="auto"/>
            </w:pPr>
            <w:r>
              <w:rPr>
                <w:rFonts w:ascii="微软雅黑" w:hAnsi="微软雅黑" w:eastAsia="微软雅黑" w:cs="微软雅黑"/>
                <w:b w:val="0"/>
                <w:i w:val="0"/>
                <w:color w:val="1F2937"/>
                <w:sz w:val="17"/>
              </w:rPr>
              <w:t>50106070</w:t>
            </w:r>
          </w:p>
        </w:tc>
        <w:tc>
          <w:tcPr>
            <w:tcW w:type="dxa" w:w="5040"/>
            <w:vAlign w:val="center"/>
          </w:tcPr>
          <w:p>
            <w:pPr>
              <w:spacing w:before="30" w:after="30" w:line="276" w:lineRule="auto"/>
            </w:pPr>
            <w:r>
              <w:rPr>
                <w:rFonts w:ascii="微软雅黑" w:hAnsi="微软雅黑" w:eastAsia="微软雅黑" w:cs="微软雅黑"/>
                <w:b w:val="0"/>
                <w:i w:val="0"/>
                <w:color w:val="1F2937"/>
                <w:sz w:val="17"/>
              </w:rPr>
              <w:t>BSc (BMIS) | 组长兼项目联系人 (Team Leader)</w:t>
            </w:r>
          </w:p>
        </w:tc>
      </w:tr>
      <w:tr>
        <w:trPr>
          <w:cantSplit/>
        </w:trPr>
        <w:tc>
          <w:tcPr>
            <w:tcW w:type="dxa" w:w="864"/>
            <w:vAlign w:val="center"/>
            <w:shd w:fill="F8FAFC"/>
          </w:tcPr>
          <w:p>
            <w:pPr>
              <w:spacing w:before="30" w:after="30" w:line="276" w:lineRule="auto"/>
            </w:pPr>
            <w:r>
              <w:rPr>
                <w:rFonts w:ascii="微软雅黑" w:hAnsi="微软雅黑" w:eastAsia="微软雅黑" w:cs="微软雅黑"/>
                <w:b w:val="0"/>
                <w:i w:val="0"/>
                <w:color w:val="1F2937"/>
                <w:sz w:val="17"/>
              </w:rPr>
              <w:t>2</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林泳桐</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50106038</w:t>
            </w:r>
          </w:p>
        </w:tc>
        <w:tc>
          <w:tcPr>
            <w:tcW w:type="dxa" w:w="5040"/>
            <w:vAlign w:val="center"/>
            <w:shd w:fill="F8FAFC"/>
          </w:tcPr>
          <w:p>
            <w:pPr>
              <w:spacing w:before="30" w:after="30" w:line="276" w:lineRule="auto"/>
            </w:pPr>
            <w:r>
              <w:rPr>
                <w:rFonts w:ascii="微软雅黑" w:hAnsi="微软雅黑" w:eastAsia="微软雅黑" w:cs="微软雅黑"/>
                <w:b w:val="0"/>
                <w:i w:val="0"/>
                <w:color w:val="1F2937"/>
                <w:sz w:val="17"/>
              </w:rPr>
              <w:t>BSc (BMIS) | 联合课题奠基人 (Principal Concept Co-Originator)</w:t>
            </w:r>
          </w:p>
        </w:tc>
      </w:tr>
      <w:tr>
        <w:trPr>
          <w:cantSplit/>
        </w:trPr>
        <w:tc>
          <w:tcPr>
            <w:tcW w:type="dxa" w:w="864"/>
            <w:vAlign w:val="center"/>
          </w:tcPr>
          <w:p>
            <w:pPr>
              <w:spacing w:before="30" w:after="30" w:line="276" w:lineRule="auto"/>
            </w:pPr>
            <w:r>
              <w:rPr>
                <w:rFonts w:ascii="微软雅黑" w:hAnsi="微软雅黑" w:eastAsia="微软雅黑" w:cs="微软雅黑"/>
                <w:b w:val="0"/>
                <w:i w:val="0"/>
                <w:color w:val="1F2937"/>
                <w:sz w:val="17"/>
              </w:rPr>
              <w:t>3</w:t>
            </w:r>
          </w:p>
        </w:tc>
        <w:tc>
          <w:tcPr>
            <w:tcW w:type="dxa" w:w="1728"/>
            <w:vAlign w:val="center"/>
          </w:tcPr>
          <w:p>
            <w:pPr>
              <w:spacing w:before="30" w:after="30" w:line="276" w:lineRule="auto"/>
            </w:pPr>
            <w:r>
              <w:rPr>
                <w:rFonts w:ascii="微软雅黑" w:hAnsi="微软雅黑" w:eastAsia="微软雅黑" w:cs="微软雅黑"/>
                <w:b w:val="0"/>
                <w:i w:val="0"/>
                <w:color w:val="1F2937"/>
                <w:sz w:val="17"/>
              </w:rPr>
              <w:t>王思鉴</w:t>
            </w:r>
          </w:p>
        </w:tc>
        <w:tc>
          <w:tcPr>
            <w:tcW w:type="dxa" w:w="1728"/>
            <w:vAlign w:val="center"/>
          </w:tcPr>
          <w:p>
            <w:pPr>
              <w:spacing w:before="30" w:after="30" w:line="276" w:lineRule="auto"/>
            </w:pPr>
            <w:r>
              <w:rPr>
                <w:rFonts w:ascii="微软雅黑" w:hAnsi="微软雅黑" w:eastAsia="微软雅黑" w:cs="微软雅黑"/>
                <w:b w:val="0"/>
                <w:i w:val="0"/>
                <w:color w:val="1F2937"/>
                <w:sz w:val="17"/>
              </w:rPr>
              <w:t>50106045</w:t>
            </w:r>
          </w:p>
        </w:tc>
        <w:tc>
          <w:tcPr>
            <w:tcW w:type="dxa" w:w="5040"/>
            <w:vAlign w:val="center"/>
          </w:tcPr>
          <w:p>
            <w:pPr>
              <w:spacing w:before="30" w:after="30" w:line="276" w:lineRule="auto"/>
            </w:pPr>
            <w:r>
              <w:rPr>
                <w:rFonts w:ascii="微软雅黑" w:hAnsi="微软雅黑" w:eastAsia="微软雅黑" w:cs="微软雅黑"/>
                <w:b w:val="0"/>
                <w:i w:val="0"/>
                <w:color w:val="1F2937"/>
                <w:sz w:val="17"/>
              </w:rPr>
              <w:t>BSc (BMIS) | 团队成员 (Team Member)</w:t>
            </w:r>
          </w:p>
        </w:tc>
      </w:tr>
      <w:tr>
        <w:trPr>
          <w:cantSplit/>
        </w:trPr>
        <w:tc>
          <w:tcPr>
            <w:tcW w:type="dxa" w:w="864"/>
            <w:vAlign w:val="center"/>
            <w:shd w:fill="F8FAFC"/>
          </w:tcPr>
          <w:p>
            <w:pPr>
              <w:spacing w:before="30" w:after="30" w:line="276" w:lineRule="auto"/>
            </w:pPr>
            <w:r>
              <w:rPr>
                <w:rFonts w:ascii="微软雅黑" w:hAnsi="微软雅黑" w:eastAsia="微软雅黑" w:cs="微软雅黑"/>
                <w:b w:val="0"/>
                <w:i w:val="0"/>
                <w:color w:val="1F2937"/>
                <w:sz w:val="17"/>
              </w:rPr>
              <w:t>4</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江昊</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50106065</w:t>
            </w:r>
          </w:p>
        </w:tc>
        <w:tc>
          <w:tcPr>
            <w:tcW w:type="dxa" w:w="5040"/>
            <w:vAlign w:val="center"/>
            <w:shd w:fill="F8FAFC"/>
          </w:tcPr>
          <w:p>
            <w:pPr>
              <w:spacing w:before="30" w:after="30" w:line="276" w:lineRule="auto"/>
            </w:pPr>
            <w:r>
              <w:rPr>
                <w:rFonts w:ascii="微软雅黑" w:hAnsi="微软雅黑" w:eastAsia="微软雅黑" w:cs="微软雅黑"/>
                <w:b w:val="0"/>
                <w:i w:val="0"/>
                <w:color w:val="1F2937"/>
                <w:sz w:val="17"/>
              </w:rPr>
              <w:t>BSc (BMIS) | 团队成员 (Team Member)</w:t>
            </w:r>
          </w:p>
        </w:tc>
      </w:tr>
      <w:tr>
        <w:trPr>
          <w:cantSplit/>
        </w:trPr>
        <w:tc>
          <w:tcPr>
            <w:tcW w:type="dxa" w:w="864"/>
            <w:vAlign w:val="center"/>
          </w:tcPr>
          <w:p>
            <w:pPr>
              <w:spacing w:before="30" w:after="30" w:line="276" w:lineRule="auto"/>
            </w:pPr>
            <w:r>
              <w:rPr>
                <w:rFonts w:ascii="微软雅黑" w:hAnsi="微软雅黑" w:eastAsia="微软雅黑" w:cs="微软雅黑"/>
                <w:b w:val="0"/>
                <w:i w:val="0"/>
                <w:color w:val="1F2937"/>
                <w:sz w:val="17"/>
              </w:rPr>
              <w:t>5</w:t>
            </w:r>
          </w:p>
        </w:tc>
        <w:tc>
          <w:tcPr>
            <w:tcW w:type="dxa" w:w="1728"/>
            <w:vAlign w:val="center"/>
          </w:tcPr>
          <w:p>
            <w:pPr>
              <w:spacing w:before="30" w:after="30" w:line="276" w:lineRule="auto"/>
            </w:pPr>
            <w:r>
              <w:rPr>
                <w:rFonts w:ascii="微软雅黑" w:hAnsi="微软雅黑" w:eastAsia="微软雅黑" w:cs="微软雅黑"/>
                <w:b w:val="0"/>
                <w:i w:val="0"/>
                <w:color w:val="1F2937"/>
                <w:sz w:val="17"/>
              </w:rPr>
              <w:t>谢炜昕</w:t>
            </w:r>
          </w:p>
        </w:tc>
        <w:tc>
          <w:tcPr>
            <w:tcW w:type="dxa" w:w="1728"/>
            <w:vAlign w:val="center"/>
          </w:tcPr>
          <w:p>
            <w:pPr>
              <w:spacing w:before="30" w:after="30" w:line="276" w:lineRule="auto"/>
            </w:pPr>
            <w:r>
              <w:rPr>
                <w:rFonts w:ascii="微软雅黑" w:hAnsi="微软雅黑" w:eastAsia="微软雅黑" w:cs="微软雅黑"/>
                <w:b w:val="0"/>
                <w:i w:val="0"/>
                <w:color w:val="1F2937"/>
                <w:sz w:val="17"/>
              </w:rPr>
              <w:t>50106034</w:t>
            </w:r>
          </w:p>
        </w:tc>
        <w:tc>
          <w:tcPr>
            <w:tcW w:type="dxa" w:w="5040"/>
            <w:vAlign w:val="center"/>
          </w:tcPr>
          <w:p>
            <w:pPr>
              <w:spacing w:before="30" w:after="30" w:line="276" w:lineRule="auto"/>
            </w:pPr>
            <w:r>
              <w:rPr>
                <w:rFonts w:ascii="微软雅黑" w:hAnsi="微软雅黑" w:eastAsia="微软雅黑" w:cs="微软雅黑"/>
                <w:b w:val="0"/>
                <w:i w:val="0"/>
                <w:color w:val="1F2937"/>
                <w:sz w:val="17"/>
              </w:rPr>
              <w:t>BSc (BMIS) | 联合课题奠基人 (Principal Concept Co-Originator)</w:t>
            </w:r>
          </w:p>
        </w:tc>
      </w:tr>
      <w:tr>
        <w:trPr>
          <w:cantSplit/>
        </w:trPr>
        <w:tc>
          <w:tcPr>
            <w:tcW w:type="dxa" w:w="864"/>
            <w:vAlign w:val="center"/>
            <w:shd w:fill="F8FAFC"/>
          </w:tcPr>
          <w:p>
            <w:pPr>
              <w:spacing w:before="30" w:after="30" w:line="276" w:lineRule="auto"/>
            </w:pPr>
            <w:r>
              <w:rPr>
                <w:rFonts w:ascii="微软雅黑" w:hAnsi="微软雅黑" w:eastAsia="微软雅黑" w:cs="微软雅黑"/>
                <w:b w:val="0"/>
                <w:i w:val="0"/>
                <w:color w:val="1F2937"/>
                <w:sz w:val="17"/>
              </w:rPr>
              <w:t>6</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张梓健</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50106035</w:t>
            </w:r>
          </w:p>
        </w:tc>
        <w:tc>
          <w:tcPr>
            <w:tcW w:type="dxa" w:w="5040"/>
            <w:vAlign w:val="center"/>
            <w:shd w:fill="F8FAFC"/>
          </w:tcPr>
          <w:p>
            <w:pPr>
              <w:spacing w:before="30" w:after="30" w:line="276" w:lineRule="auto"/>
            </w:pPr>
            <w:r>
              <w:rPr>
                <w:rFonts w:ascii="微软雅黑" w:hAnsi="微软雅黑" w:eastAsia="微软雅黑" w:cs="微软雅黑"/>
                <w:b w:val="0"/>
                <w:i w:val="0"/>
                <w:color w:val="1F2937"/>
                <w:sz w:val="17"/>
              </w:rPr>
              <w:t>BSc (BMIS) | 团队成员 (Team Member)</w:t>
            </w:r>
          </w:p>
        </w:tc>
      </w:tr>
      <w:tr>
        <w:trPr>
          <w:cantSplit/>
        </w:trPr>
        <w:tc>
          <w:tcPr>
            <w:tcW w:type="dxa" w:w="864"/>
            <w:vAlign w:val="center"/>
          </w:tcPr>
          <w:p>
            <w:pPr>
              <w:spacing w:before="30" w:after="30" w:line="276" w:lineRule="auto"/>
            </w:pPr>
            <w:r>
              <w:rPr>
                <w:rFonts w:ascii="微软雅黑" w:hAnsi="微软雅黑" w:eastAsia="微软雅黑" w:cs="微软雅黑"/>
                <w:b w:val="0"/>
                <w:i w:val="0"/>
                <w:color w:val="1F2937"/>
                <w:sz w:val="17"/>
              </w:rPr>
              <w:t>7</w:t>
            </w:r>
          </w:p>
        </w:tc>
        <w:tc>
          <w:tcPr>
            <w:tcW w:type="dxa" w:w="1728"/>
            <w:vAlign w:val="center"/>
          </w:tcPr>
          <w:p>
            <w:pPr>
              <w:spacing w:before="30" w:after="30" w:line="276" w:lineRule="auto"/>
            </w:pPr>
            <w:r>
              <w:rPr>
                <w:rFonts w:ascii="微软雅黑" w:hAnsi="微软雅黑" w:eastAsia="微软雅黑" w:cs="微软雅黑"/>
                <w:b w:val="0"/>
                <w:i w:val="0"/>
                <w:color w:val="1F2937"/>
                <w:sz w:val="17"/>
              </w:rPr>
              <w:t>习羽赛</w:t>
            </w:r>
          </w:p>
        </w:tc>
        <w:tc>
          <w:tcPr>
            <w:tcW w:type="dxa" w:w="1728"/>
            <w:vAlign w:val="center"/>
          </w:tcPr>
          <w:p>
            <w:pPr>
              <w:spacing w:before="30" w:after="30" w:line="276" w:lineRule="auto"/>
            </w:pPr>
            <w:r>
              <w:rPr>
                <w:rFonts w:ascii="微软雅黑" w:hAnsi="微软雅黑" w:eastAsia="微软雅黑" w:cs="微软雅黑"/>
                <w:b w:val="0"/>
                <w:i w:val="0"/>
                <w:color w:val="1F2937"/>
                <w:sz w:val="17"/>
              </w:rPr>
              <w:t>50105989</w:t>
            </w:r>
          </w:p>
        </w:tc>
        <w:tc>
          <w:tcPr>
            <w:tcW w:type="dxa" w:w="5040"/>
            <w:vAlign w:val="center"/>
          </w:tcPr>
          <w:p>
            <w:pPr>
              <w:spacing w:before="30" w:after="30" w:line="276" w:lineRule="auto"/>
            </w:pPr>
            <w:r>
              <w:rPr>
                <w:rFonts w:ascii="微软雅黑" w:hAnsi="微软雅黑" w:eastAsia="微软雅黑" w:cs="微软雅黑"/>
                <w:b w:val="0"/>
                <w:i w:val="0"/>
                <w:color w:val="1F2937"/>
                <w:sz w:val="17"/>
              </w:rPr>
              <w:t>BSc (BMIS) | 团队成员 (Team Member)</w:t>
            </w:r>
          </w:p>
        </w:tc>
      </w:tr>
      <w:tr>
        <w:trPr>
          <w:cantSplit/>
        </w:trPr>
        <w:tc>
          <w:tcPr>
            <w:tcW w:type="dxa" w:w="864"/>
            <w:vAlign w:val="center"/>
            <w:shd w:fill="F8FAFC"/>
          </w:tcPr>
          <w:p>
            <w:pPr>
              <w:spacing w:before="30" w:after="30" w:line="276" w:lineRule="auto"/>
            </w:pPr>
            <w:r>
              <w:rPr>
                <w:rFonts w:ascii="微软雅黑" w:hAnsi="微软雅黑" w:eastAsia="微软雅黑" w:cs="微软雅黑"/>
                <w:b w:val="0"/>
                <w:i w:val="0"/>
                <w:color w:val="1F2937"/>
                <w:sz w:val="17"/>
              </w:rPr>
              <w:t>8</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董思钦</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50106060</w:t>
            </w:r>
          </w:p>
        </w:tc>
        <w:tc>
          <w:tcPr>
            <w:tcW w:type="dxa" w:w="5040"/>
            <w:vAlign w:val="center"/>
            <w:shd w:fill="F8FAFC"/>
          </w:tcPr>
          <w:p>
            <w:pPr>
              <w:spacing w:before="30" w:after="30" w:line="276" w:lineRule="auto"/>
            </w:pPr>
            <w:r>
              <w:rPr>
                <w:rFonts w:ascii="微软雅黑" w:hAnsi="微软雅黑" w:eastAsia="微软雅黑" w:cs="微软雅黑"/>
                <w:b w:val="0"/>
                <w:i w:val="0"/>
                <w:color w:val="1F2937"/>
                <w:sz w:val="17"/>
              </w:rPr>
              <w:t>BSc (BMIS) | 团队成员 (Team Member)</w:t>
            </w:r>
          </w:p>
        </w:tc>
      </w:tr>
      <w:tr>
        <w:trPr>
          <w:cantSplit/>
        </w:trPr>
        <w:tc>
          <w:tcPr>
            <w:tcW w:type="dxa" w:w="864"/>
            <w:vAlign w:val="center"/>
          </w:tcPr>
          <w:p>
            <w:pPr>
              <w:spacing w:before="30" w:after="30" w:line="276" w:lineRule="auto"/>
            </w:pPr>
            <w:r>
              <w:rPr>
                <w:rFonts w:ascii="微软雅黑" w:hAnsi="微软雅黑" w:eastAsia="微软雅黑" w:cs="微软雅黑"/>
                <w:b w:val="0"/>
                <w:i w:val="0"/>
                <w:color w:val="1F2937"/>
                <w:sz w:val="17"/>
              </w:rPr>
              <w:t>9</w:t>
            </w:r>
          </w:p>
        </w:tc>
        <w:tc>
          <w:tcPr>
            <w:tcW w:type="dxa" w:w="1728"/>
            <w:vAlign w:val="center"/>
          </w:tcPr>
          <w:p>
            <w:pPr>
              <w:spacing w:before="30" w:after="30" w:line="276" w:lineRule="auto"/>
            </w:pPr>
            <w:r>
              <w:rPr>
                <w:rFonts w:ascii="微软雅黑" w:hAnsi="微软雅黑" w:eastAsia="微软雅黑" w:cs="微软雅黑"/>
                <w:b w:val="0"/>
                <w:i w:val="0"/>
                <w:color w:val="1F2937"/>
                <w:sz w:val="17"/>
              </w:rPr>
              <w:t>杨明杰</w:t>
            </w:r>
          </w:p>
        </w:tc>
        <w:tc>
          <w:tcPr>
            <w:tcW w:type="dxa" w:w="1728"/>
            <w:vAlign w:val="center"/>
          </w:tcPr>
          <w:p>
            <w:pPr>
              <w:spacing w:before="30" w:after="30" w:line="276" w:lineRule="auto"/>
            </w:pPr>
            <w:r>
              <w:rPr>
                <w:rFonts w:ascii="微软雅黑" w:hAnsi="微软雅黑" w:eastAsia="微软雅黑" w:cs="微软雅黑"/>
                <w:b w:val="0"/>
                <w:i w:val="0"/>
                <w:color w:val="1F2937"/>
                <w:sz w:val="17"/>
              </w:rPr>
              <w:t>50106061</w:t>
            </w:r>
          </w:p>
        </w:tc>
        <w:tc>
          <w:tcPr>
            <w:tcW w:type="dxa" w:w="5040"/>
            <w:vAlign w:val="center"/>
          </w:tcPr>
          <w:p>
            <w:pPr>
              <w:spacing w:before="30" w:after="30" w:line="276" w:lineRule="auto"/>
            </w:pPr>
            <w:r>
              <w:rPr>
                <w:rFonts w:ascii="微软雅黑" w:hAnsi="微软雅黑" w:eastAsia="微软雅黑" w:cs="微软雅黑"/>
                <w:b w:val="0"/>
                <w:i w:val="0"/>
                <w:color w:val="1F2937"/>
                <w:sz w:val="17"/>
              </w:rPr>
              <w:t>BSc (BMIS) | 团队成员 (Team Member)</w:t>
            </w:r>
          </w:p>
        </w:tc>
      </w:tr>
      <w:tr>
        <w:trPr>
          <w:cantSplit/>
        </w:trPr>
        <w:tc>
          <w:tcPr>
            <w:tcW w:type="dxa" w:w="864"/>
            <w:vAlign w:val="center"/>
            <w:shd w:fill="F8FAFC"/>
          </w:tcPr>
          <w:p>
            <w:pPr>
              <w:spacing w:before="30" w:after="30" w:line="276" w:lineRule="auto"/>
            </w:pPr>
            <w:r>
              <w:rPr>
                <w:rFonts w:ascii="微软雅黑" w:hAnsi="微软雅黑" w:eastAsia="微软雅黑" w:cs="微软雅黑"/>
                <w:b w:val="0"/>
                <w:i w:val="0"/>
                <w:color w:val="1F2937"/>
                <w:sz w:val="17"/>
              </w:rPr>
              <w:t>10</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梁子铉</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50106037</w:t>
            </w:r>
          </w:p>
        </w:tc>
        <w:tc>
          <w:tcPr>
            <w:tcW w:type="dxa" w:w="5040"/>
            <w:vAlign w:val="center"/>
            <w:shd w:fill="F8FAFC"/>
          </w:tcPr>
          <w:p>
            <w:pPr>
              <w:spacing w:before="30" w:after="30" w:line="276" w:lineRule="auto"/>
            </w:pPr>
            <w:r>
              <w:rPr>
                <w:rFonts w:ascii="微软雅黑" w:hAnsi="微软雅黑" w:eastAsia="微软雅黑" w:cs="微软雅黑"/>
                <w:b w:val="0"/>
                <w:i w:val="0"/>
                <w:color w:val="1F2937"/>
                <w:sz w:val="17"/>
              </w:rPr>
              <w:t>BSc (BMIS) | 团队成员 (Team Member)</w:t>
            </w:r>
          </w:p>
        </w:tc>
      </w:tr>
    </w:tbl>
    <w:p>
      <w:pPr>
        <w:keepNext/>
        <w:spacing w:before="280" w:after="80" w:line="276" w:lineRule="auto"/>
      </w:pPr>
      <w:r>
        <w:rPr>
          <w:rFonts w:ascii="微软雅黑" w:hAnsi="微软雅黑" w:eastAsia="微软雅黑" w:cs="微软雅黑"/>
          <w:b/>
          <w:i w:val="0"/>
          <w:color w:val="1B365D"/>
          <w:sz w:val="26"/>
        </w:rPr>
        <w:t>一、 项目背景与问题定义 (Problem Statement)</w:t>
      </w:r>
    </w:p>
    <w:p>
      <w:pPr>
        <w:spacing w:before="0" w:after="70" w:line="293" w:lineRule="auto"/>
      </w:pPr>
      <w:r>
        <w:rPr>
          <w:rFonts w:ascii="微软雅黑" w:hAnsi="微软雅黑" w:eastAsia="微软雅黑" w:cs="微软雅黑"/>
          <w:b w:val="0"/>
          <w:i w:val="0"/>
          <w:color w:val="1F2937"/>
          <w:sz w:val="18"/>
        </w:rPr>
        <w:t>在高校本科学习中，大学生普遍面对多门难度高、跨度大的专业课程（如计算机、经管、金融、法学等）。在期末备考与平时的知识巩固过程中，学生面临着严重的效率瓶颈与认知负担：</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1. 知识点碎片化与认知超载：</w:t>
      </w:r>
      <w:r>
        <w:rPr>
          <w:rFonts w:ascii="微软雅黑" w:hAnsi="微软雅黑" w:eastAsia="微软雅黑" w:cs="微软雅黑"/>
          <w:b w:val="0"/>
          <w:i w:val="0"/>
          <w:color w:val="1F2937"/>
          <w:sz w:val="18"/>
        </w:rPr>
        <w:t>课件 PPT、教材章节与练习册各自独立成块，缺乏清晰的知识依赖关系图，导致学生容易陷入'盲人摸象'的混乱复习状态。</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2. 盲目刷题但易错点不明确：</w:t>
      </w:r>
      <w:r>
        <w:rPr>
          <w:rFonts w:ascii="微软雅黑" w:hAnsi="微软雅黑" w:eastAsia="微软雅黑" w:cs="微软雅黑"/>
          <w:b w:val="0"/>
          <w:i w:val="0"/>
          <w:color w:val="1F2937"/>
          <w:sz w:val="18"/>
        </w:rPr>
        <w:t>学生刷历年真题或练习题时，往往只能查看'对'或'错'，无法知道自己究竟掉进了出题老师设下的哪个逻辑陷阱，缺乏针对根源弱项的排查。</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3. 现有 AI 辅导缺乏诊断与启发式引导：</w:t>
      </w:r>
      <w:r>
        <w:rPr>
          <w:rFonts w:ascii="微软雅黑" w:hAnsi="微软雅黑" w:eastAsia="微软雅黑" w:cs="微软雅黑"/>
          <w:b w:val="0"/>
          <w:i w:val="0"/>
          <w:color w:val="1F2937"/>
          <w:sz w:val="18"/>
        </w:rPr>
        <w:t>现有商用大模型在直接问答时，倾向于直接给出最终完整答案。学生被动抄袭答案，不仅剥夺了独立思考过程，而且难以培养深层解题思维。</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4. 学术领域严重的知识幻觉与乱回答痛点：</w:t>
      </w:r>
      <w:r>
        <w:rPr>
          <w:rFonts w:ascii="微软雅黑" w:hAnsi="微软雅黑" w:eastAsia="微软雅黑" w:cs="微软雅黑"/>
          <w:b w:val="0"/>
          <w:i w:val="0"/>
          <w:color w:val="1F2937"/>
          <w:sz w:val="18"/>
        </w:rPr>
        <w:t>通用大模型在专业学术领域存在严重的'知识幻觉'与乱回答现象。面对大学高阶数理推导、定理前置条件和专业术语时，极易产生看似言之成理、实则虚构错误的解答。学生若轻信错误推导，不仅无法提分，反而会强化错误认知，造成严重的学业误导。</w:t>
      </w:r>
    </w:p>
    <w:p>
      <w:pPr>
        <w:keepNext/>
        <w:spacing w:before="280" w:after="80" w:line="276" w:lineRule="auto"/>
      </w:pPr>
      <w:r>
        <w:rPr>
          <w:rFonts w:ascii="微软雅黑" w:hAnsi="微软雅黑" w:eastAsia="微软雅黑" w:cs="微软雅黑"/>
          <w:b/>
          <w:i w:val="0"/>
          <w:color w:val="1B365D"/>
          <w:sz w:val="26"/>
        </w:rPr>
        <w:t>二、 解决方案与核心技术架构 (Proposed Solution)</w:t>
      </w:r>
    </w:p>
    <w:p>
      <w:pPr>
        <w:spacing w:before="0" w:after="70" w:line="293" w:lineRule="auto"/>
      </w:pPr>
      <w:r>
        <w:rPr>
          <w:rFonts w:ascii="微软雅黑" w:hAnsi="微软雅黑" w:eastAsia="微软雅黑" w:cs="微软雅黑"/>
          <w:b w:val="0"/>
          <w:i w:val="0"/>
          <w:color w:val="1F2937"/>
          <w:sz w:val="18"/>
        </w:rPr>
        <w:t>本项目提出并实现【智能大学生备考与知识诊断辅导系统 (Smart Study Assistant System)】，以现有知识图谱与检索增强生成（GraphRAG）为核心，将传统平面的被动问答升级为结构化的智能诊断导学。</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1. Neo4j 错题图谱建模：</w:t>
      </w:r>
      <w:r>
        <w:rPr>
          <w:rFonts w:ascii="微软雅黑" w:hAnsi="微软雅黑" w:eastAsia="微软雅黑" w:cs="微软雅黑"/>
          <w:b w:val="0"/>
          <w:i w:val="0"/>
          <w:color w:val="1F2937"/>
          <w:sz w:val="18"/>
        </w:rPr>
        <w:t>在 Neo4j 中建立学科本体模型，定义四类核心节点：【核心考点】、【定理条件】、【易错漏洞】与【计算操作】。首创【易错于 (DEPENDS_ON)】关系连边，精准记录易混淆概念与易忽略边界条件。</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2. 自动化试卷诊断抽取：</w:t>
      </w:r>
      <w:r>
        <w:rPr>
          <w:rFonts w:ascii="微软雅黑" w:hAnsi="微软雅黑" w:eastAsia="微软雅黑" w:cs="微软雅黑"/>
          <w:b w:val="0"/>
          <w:i w:val="0"/>
          <w:color w:val="1F2937"/>
          <w:sz w:val="18"/>
        </w:rPr>
        <w:t>对接阿里云通义千问大模型（DashScope Qwen-Turbo），对历年真题进行逆向考点反推与易错逻辑陷阱自动提取，实现自动化建图与考点知识沉淀。</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3. 启发式苏格拉底导学：</w:t>
      </w:r>
      <w:r>
        <w:rPr>
          <w:rFonts w:ascii="微软雅黑" w:hAnsi="微软雅黑" w:eastAsia="微软雅黑" w:cs="微软雅黑"/>
          <w:b w:val="0"/>
          <w:i w:val="0"/>
          <w:color w:val="1F2937"/>
          <w:sz w:val="18"/>
        </w:rPr>
        <w:t>AI 助教在答疑时严禁直接吐出完整答案，而是根据图谱中的易错节点逐步抛出启发式问题，引导学生自己发现思维漏洞（苏格拉底导学机制）。</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4. 自适应测验与五维能力雷达图：</w:t>
      </w:r>
      <w:r>
        <w:rPr>
          <w:rFonts w:ascii="微软雅黑" w:hAnsi="微软雅黑" w:eastAsia="微软雅黑" w:cs="微软雅黑"/>
          <w:b w:val="0"/>
          <w:i w:val="0"/>
          <w:color w:val="1F2937"/>
          <w:sz w:val="18"/>
        </w:rPr>
        <w:t>测验系统自动关联薄弱图谱节点，并在前端利用 ECharts 5.5.1 生成学生的五维能力雷达图（基础概念、边界推演、排雷防守、综合运用、计算精度），直观展现复习短板。</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5. 图谱事实锚定与显著降低知识幻觉率：</w:t>
      </w:r>
      <w:r>
        <w:rPr>
          <w:rFonts w:ascii="微软雅黑" w:hAnsi="微软雅黑" w:eastAsia="微软雅黑" w:cs="微软雅黑"/>
          <w:b w:val="0"/>
          <w:i w:val="0"/>
          <w:color w:val="1F2937"/>
          <w:sz w:val="18"/>
        </w:rPr>
        <w:t>将生成式问答严格锚定 (Grounding) 于验证过的 Neo4j 知识拓扑中，并结合高置信度仲裁门禁 (&gt;=85%)，有效过滤生成噪声与虚假连边，从机理上大幅降低了 AI 在学术专业领域的知识幻觉率。</w:t>
      </w:r>
    </w:p>
    <w:tbl>
      <w:tblPr>
        <w:tblW w:type="auto" w:w="0"/>
        <w:jc w:val="center"/>
        <w:tblLook w:firstColumn="1" w:firstRow="1" w:lastColumn="0" w:lastRow="0" w:noHBand="0" w:noVBand="1" w:val="04A0"/>
      </w:tblPr>
      <w:tblGrid>
        <w:gridCol w:w="9602"/>
      </w:tblGrid>
      <w:tr>
        <w:tc>
          <w:tcPr>
            <w:tcW w:type="dxa" w:w="9360"/>
            <w:shd w:fill="ECFDF5"/>
            <w:tcBorders>
              <w:top w:val="none"/>
              <w:left w:val="single" w:sz="24" w:space="0" w:color="059669"/>
              <w:bottom w:val="none"/>
              <w:right w:val="none"/>
            </w:tcBorders>
          </w:tcPr>
          <w:p>
            <w:pPr>
              <w:spacing w:before="60" w:after="60" w:line="283" w:lineRule="auto"/>
            </w:pPr>
            <w:r>
              <w:rPr>
                <w:rFonts w:ascii="微软雅黑" w:hAnsi="微软雅黑" w:eastAsia="微软雅黑" w:cs="微软雅黑"/>
                <w:b w:val="0"/>
                <w:i w:val="0"/>
                <w:color w:val="1B365D"/>
                <w:sz w:val="18"/>
              </w:rPr>
              <w:t>💡 【现有技术验证基础与数据佐证】</w:t>
              <w:br/>
              <w:t>本项目已具备坚实的技术原型（本地 graphrag 代码库已跑通 Neo4j 连通与 Qwen 诊断抽取）：</w:t>
              <w:br/>
              <w:t>• 在多学科真实测试集中，结合图谱排雷诊断相较于通用大模型基准：在专业法学测试中准确率提升 +2.50%，在计算机学科测试中提升 +2.00%！</w:t>
              <w:br/>
              <w:t>• 针对'学术界大模型乱回答与知识幻觉严重'的行业痛点，系统通过 Neo4j 权威学科本体事实锚定与高置信度仲裁门禁 (Confidence Threshold &gt;= 85%)，有效拦截噪声，显著降低了知识幻觉率。</w:t>
            </w:r>
          </w:p>
        </w:tc>
      </w:tr>
    </w:tbl>
    <w:p>
      <w:pPr>
        <w:keepNext/>
        <w:spacing w:before="280" w:after="80" w:line="276" w:lineRule="auto"/>
      </w:pPr>
      <w:r>
        <w:rPr>
          <w:rFonts w:ascii="微软雅黑" w:hAnsi="微软雅黑" w:eastAsia="微软雅黑" w:cs="微软雅黑"/>
          <w:b/>
          <w:i w:val="0"/>
          <w:color w:val="1B365D"/>
          <w:sz w:val="26"/>
        </w:rPr>
        <w:t>三、 项目目标 (Project Objectives - SMART 原则)</w:t>
      </w:r>
    </w:p>
    <w:p>
      <w:pPr>
        <w:spacing w:before="0" w:after="70" w:line="293" w:lineRule="auto"/>
      </w:pPr>
      <w:r>
        <w:rPr>
          <w:rFonts w:ascii="微软雅黑" w:hAnsi="微软雅黑" w:eastAsia="微软雅黑" w:cs="微软雅黑"/>
          <w:b w:val="0"/>
          <w:i w:val="0"/>
          <w:color w:val="1F2937"/>
          <w:sz w:val="18"/>
        </w:rPr>
        <w:t>本软件工程项目严格对照 JC2001 课程标准，制定了在 2026 年 12 月 14 日前达成的五大 SMART 目标：</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目标 1 (功能交付)：</w:t>
      </w:r>
      <w:r>
        <w:rPr>
          <w:rFonts w:ascii="微软雅黑" w:hAnsi="微软雅黑" w:eastAsia="微软雅黑" w:cs="微软雅黑"/>
          <w:b w:val="0"/>
          <w:i w:val="0"/>
          <w:color w:val="1F2937"/>
          <w:sz w:val="18"/>
        </w:rPr>
        <w:t>在 2026 年 12 月 14 日前，设计、开发并交付一个功能完备、包含 Neo4j 云数据库、Qwen 诊断 API、苏格拉底导学与前端可视化界面的 PoC 软件运行包。</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目标 2 (图谱规模与性能)：</w:t>
      </w:r>
      <w:r>
        <w:rPr>
          <w:rFonts w:ascii="微软雅黑" w:hAnsi="微软雅黑" w:eastAsia="微软雅黑" w:cs="微软雅黑"/>
          <w:b w:val="0"/>
          <w:i w:val="0"/>
          <w:color w:val="1F2937"/>
          <w:sz w:val="18"/>
        </w:rPr>
        <w:t>构建涵盖至少 250 个核心考点、500 道多学科真题、300 条易错依赖关系的知识图谱，双向 Cypher 图遍历查询响应延迟严格控制在 2.0 秒内。</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目标 3 (诊断精度与降低知识幻觉率)：</w:t>
      </w:r>
      <w:r>
        <w:rPr>
          <w:rFonts w:ascii="微软雅黑" w:hAnsi="微软雅黑" w:eastAsia="微软雅黑" w:cs="微软雅黑"/>
          <w:b w:val="0"/>
          <w:i w:val="0"/>
          <w:color w:val="1F2937"/>
          <w:sz w:val="18"/>
        </w:rPr>
        <w:t>真题考点与陷阱抽取准确率达到 85% 以上；通过图谱事实锚定与高置信度仲裁门禁 (&gt;=85%) 过滤 85% 以上噪声连边，显著抑制学术乱回答，切实降低知识幻觉率。</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目标 4 (工程质量与测试)：</w:t>
      </w:r>
      <w:r>
        <w:rPr>
          <w:rFonts w:ascii="微软雅黑" w:hAnsi="微软雅黑" w:eastAsia="微软雅黑" w:cs="微软雅黑"/>
          <w:b w:val="0"/>
          <w:i w:val="0"/>
          <w:color w:val="1F2937"/>
          <w:sz w:val="18"/>
        </w:rPr>
        <w:t>遵循模块化面向对象软件工程标准，核心 Cypher 查询接口单元测试覆盖率达 100%，关键业务逻辑 pytest 分支覆盖率 &gt;= 80%，代码遵循 PEP 8 规范。</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目标 5 (文档与课程验收)：</w:t>
      </w:r>
      <w:r>
        <w:rPr>
          <w:rFonts w:ascii="微软雅黑" w:hAnsi="微软雅黑" w:eastAsia="微软雅黑" w:cs="微软雅黑"/>
          <w:b w:val="0"/>
          <w:i w:val="0"/>
          <w:color w:val="1F2937"/>
          <w:sz w:val="18"/>
        </w:rPr>
        <w:t>在 12 月 14 日 23:59 CST 前，全量提交 40–60 页正式技术报告、8–12 页用户使用手册、15 分钟 MP4 答辩展示视频与全员签名的个人工作量表。</w:t>
      </w:r>
    </w:p>
    <w:p>
      <w:pPr>
        <w:keepNext/>
        <w:spacing w:before="280" w:after="80" w:line="276" w:lineRule="auto"/>
      </w:pPr>
      <w:r>
        <w:rPr>
          <w:rFonts w:ascii="微软雅黑" w:hAnsi="微软雅黑" w:eastAsia="微软雅黑" w:cs="微软雅黑"/>
          <w:b/>
          <w:i w:val="0"/>
          <w:color w:val="1B365D"/>
          <w:sz w:val="26"/>
        </w:rPr>
        <w:t>四、 项目价值与预期收益 (Expected Benefits)</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对学生 (主要用户)：</w:t>
      </w:r>
      <w:r>
        <w:rPr>
          <w:rFonts w:ascii="微软雅黑" w:hAnsi="微软雅黑" w:eastAsia="微软雅黑" w:cs="微软雅黑"/>
          <w:b w:val="0"/>
          <w:i w:val="0"/>
          <w:color w:val="1F2937"/>
          <w:sz w:val="18"/>
        </w:rPr>
        <w:t>帮助学生建立立体的考点拓扑网络，摆脱盲目背题，预计可节省 30–40% 的复习时间；雷达图可视化让薄弱点无处遁形。</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对教师与助教：</w:t>
      </w:r>
      <w:r>
        <w:rPr>
          <w:rFonts w:ascii="微软雅黑" w:hAnsi="微软雅黑" w:eastAsia="微软雅黑" w:cs="微软雅黑"/>
          <w:b w:val="0"/>
          <w:i w:val="0"/>
          <w:color w:val="1F2937"/>
          <w:sz w:val="18"/>
        </w:rPr>
        <w:t>通过后台聚合的学生错题图谱热力数据，任课教师与助教可直观洞察整个班级在哪些前置考点上存在群体性认知盲区，从而开展针对性答疑。</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对学院与学科：</w:t>
      </w:r>
      <w:r>
        <w:rPr>
          <w:rFonts w:ascii="微软雅黑" w:hAnsi="微软雅黑" w:eastAsia="微软雅黑" w:cs="微软雅黑"/>
          <w:b w:val="0"/>
          <w:i w:val="0"/>
          <w:color w:val="1F2937"/>
          <w:sz w:val="18"/>
        </w:rPr>
        <w:t>沉淀一套可跨学年复用的数字课程知识资产，助力高校课程数字化与教学智能化建设。</w:t>
      </w:r>
    </w:p>
    <w:p>
      <w:pPr>
        <w:keepNext/>
        <w:spacing w:before="280" w:after="80" w:line="276" w:lineRule="auto"/>
      </w:pPr>
      <w:r>
        <w:rPr>
          <w:rFonts w:ascii="微软雅黑" w:hAnsi="微软雅黑" w:eastAsia="微软雅黑" w:cs="微软雅黑"/>
          <w:b/>
          <w:i w:val="0"/>
          <w:color w:val="1B365D"/>
          <w:sz w:val="26"/>
        </w:rPr>
        <w:t>五、 项目时间规划与里程碑路线图 (Timeline &amp; Roadmaps)</w:t>
      </w:r>
    </w:p>
    <w:p>
      <w:pPr>
        <w:spacing w:before="0" w:after="70" w:line="293" w:lineRule="auto"/>
      </w:pPr>
      <w:r>
        <w:rPr>
          <w:rFonts w:ascii="微软雅黑" w:hAnsi="微软雅黑" w:eastAsia="微软雅黑" w:cs="微软雅黑"/>
          <w:b w:val="0"/>
          <w:i w:val="0"/>
          <w:color w:val="1F2937"/>
          <w:sz w:val="18"/>
        </w:rPr>
        <w:t>项目周期严格对应 2026–27 学年第一学期的 12 周全生命周期（2026年9月14日 至 2026年12月14日），划分为四个连续递进的工程阶段：</w:t>
      </w:r>
    </w:p>
    <w:tbl>
      <w:tblPr>
        <w:tblW w:type="auto" w:w="0"/>
        <w:jc w:val="center"/>
        <w:tblLook w:firstColumn="1" w:firstRow="1" w:lastColumn="0" w:lastRow="0" w:noHBand="0" w:noVBand="1" w:val="04A0"/>
        <w:tblBorders>
          <w:top w:val="single" w:sz="8" w:space="0" w:color="1B365D"/>
          <w:left w:val="none"/>
          <w:bottom w:val="single" w:sz="8" w:space="0" w:color="1B365D"/>
          <w:right w:val="none"/>
          <w:insideH w:val="single" w:sz="4" w:space="0" w:color="CBD5E1"/>
          <w:insideV w:val="none"/>
        </w:tblBorders>
        <w:tblCellMar>
          <w:top w:w="90" w:type="dxa"/>
          <w:bottom w:w="90" w:type="dxa"/>
          <w:left w:w="120" w:type="dxa"/>
          <w:right w:w="120" w:type="dxa"/>
        </w:tblCellMar>
      </w:tblPr>
      <w:tblGrid>
        <w:gridCol w:w="2400"/>
        <w:gridCol w:w="2400"/>
        <w:gridCol w:w="2400"/>
        <w:gridCol w:w="2400"/>
      </w:tblGrid>
      <w:tr>
        <w:trPr>
          <w:tblHeader/>
          <w:cantSplit/>
        </w:trPr>
        <w:tc>
          <w:tcPr>
            <w:tcW w:type="dxa" w:w="2160"/>
            <w:vAlign w:val="center"/>
            <w:shd w:fill="1B365D"/>
          </w:tcPr>
          <w:p>
            <w:pPr>
              <w:spacing w:before="40" w:after="40" w:line="276" w:lineRule="auto"/>
            </w:pPr>
            <w:r>
              <w:rPr>
                <w:rFonts w:ascii="微软雅黑" w:hAnsi="微软雅黑" w:eastAsia="微软雅黑" w:cs="微软雅黑"/>
                <w:b/>
                <w:i w:val="0"/>
                <w:color w:val="FFFFFF"/>
                <w:sz w:val="18"/>
              </w:rPr>
              <w:t>工程阶段</w:t>
            </w:r>
          </w:p>
        </w:tc>
        <w:tc>
          <w:tcPr>
            <w:tcW w:type="dxa" w:w="3168"/>
            <w:vAlign w:val="center"/>
            <w:shd w:fill="1B365D"/>
          </w:tcPr>
          <w:p>
            <w:pPr>
              <w:spacing w:before="40" w:after="40" w:line="276" w:lineRule="auto"/>
            </w:pPr>
            <w:r>
              <w:rPr>
                <w:rFonts w:ascii="微软雅黑" w:hAnsi="微软雅黑" w:eastAsia="微软雅黑" w:cs="微软雅黑"/>
                <w:b/>
                <w:i w:val="0"/>
                <w:color w:val="FFFFFF"/>
                <w:sz w:val="18"/>
              </w:rPr>
              <w:t>核心任务内容</w:t>
            </w:r>
          </w:p>
        </w:tc>
        <w:tc>
          <w:tcPr>
            <w:tcW w:type="dxa" w:w="2592"/>
            <w:vAlign w:val="center"/>
            <w:shd w:fill="1B365D"/>
          </w:tcPr>
          <w:p>
            <w:pPr>
              <w:spacing w:before="40" w:after="40" w:line="276" w:lineRule="auto"/>
            </w:pPr>
            <w:r>
              <w:rPr>
                <w:rFonts w:ascii="微软雅黑" w:hAnsi="微软雅黑" w:eastAsia="微软雅黑" w:cs="微软雅黑"/>
                <w:b/>
                <w:i w:val="0"/>
                <w:color w:val="FFFFFF"/>
                <w:sz w:val="18"/>
              </w:rPr>
              <w:t>关键交付物</w:t>
            </w:r>
          </w:p>
        </w:tc>
        <w:tc>
          <w:tcPr>
            <w:tcW w:type="dxa" w:w="1440"/>
            <w:vAlign w:val="center"/>
            <w:shd w:fill="1B365D"/>
          </w:tcPr>
          <w:p>
            <w:pPr>
              <w:spacing w:before="40" w:after="40" w:line="276" w:lineRule="auto"/>
            </w:pPr>
            <w:r>
              <w:rPr>
                <w:rFonts w:ascii="微软雅黑" w:hAnsi="微软雅黑" w:eastAsia="微软雅黑" w:cs="微软雅黑"/>
                <w:b/>
                <w:i w:val="0"/>
                <w:color w:val="FFFFFF"/>
                <w:sz w:val="18"/>
              </w:rPr>
              <w:t>截止完成时间</w:t>
            </w:r>
          </w:p>
        </w:tc>
      </w:tr>
      <w:tr>
        <w:trPr>
          <w:cantSplit/>
        </w:trPr>
        <w:tc>
          <w:tcPr>
            <w:tcW w:type="dxa" w:w="2160"/>
            <w:vAlign w:val="center"/>
          </w:tcPr>
          <w:p>
            <w:pPr>
              <w:spacing w:before="30" w:after="30" w:line="276" w:lineRule="auto"/>
            </w:pPr>
            <w:r>
              <w:rPr>
                <w:rFonts w:ascii="微软雅黑" w:hAnsi="微软雅黑" w:eastAsia="微软雅黑" w:cs="微软雅黑"/>
                <w:b w:val="0"/>
                <w:i w:val="0"/>
                <w:color w:val="1F2937"/>
                <w:sz w:val="17"/>
              </w:rPr>
              <w:t>Phase 1: 需求捕获与开题</w:t>
            </w:r>
          </w:p>
        </w:tc>
        <w:tc>
          <w:tcPr>
            <w:tcW w:type="dxa" w:w="3168"/>
            <w:vAlign w:val="center"/>
          </w:tcPr>
          <w:p>
            <w:pPr>
              <w:spacing w:before="30" w:after="30" w:line="276" w:lineRule="auto"/>
            </w:pPr>
            <w:r>
              <w:rPr>
                <w:rFonts w:ascii="微软雅黑" w:hAnsi="微软雅黑" w:eastAsia="微软雅黑" w:cs="微软雅黑"/>
                <w:b w:val="0"/>
                <w:i w:val="0"/>
                <w:color w:val="1F2937"/>
                <w:sz w:val="17"/>
              </w:rPr>
              <w:t>团队分工组建、痛点调研、用户故事定义、与导师首期会议沟通</w:t>
            </w:r>
          </w:p>
        </w:tc>
        <w:tc>
          <w:tcPr>
            <w:tcW w:type="dxa" w:w="2592"/>
            <w:vAlign w:val="center"/>
          </w:tcPr>
          <w:p>
            <w:pPr>
              <w:spacing w:before="30" w:after="30" w:line="276" w:lineRule="auto"/>
            </w:pPr>
            <w:r>
              <w:rPr>
                <w:rFonts w:ascii="微软雅黑" w:hAnsi="微软雅黑" w:eastAsia="微软雅黑" w:cs="微软雅黑"/>
                <w:b w:val="0"/>
                <w:i w:val="0"/>
                <w:color w:val="1F2937"/>
                <w:sz w:val="17"/>
              </w:rPr>
              <w:t>开题报告 (Project Proposal PDF)</w:t>
            </w:r>
          </w:p>
        </w:tc>
        <w:tc>
          <w:tcPr>
            <w:tcW w:type="dxa" w:w="1440"/>
            <w:vAlign w:val="center"/>
          </w:tcPr>
          <w:p>
            <w:pPr>
              <w:spacing w:before="30" w:after="30" w:line="276" w:lineRule="auto"/>
            </w:pPr>
            <w:r>
              <w:rPr>
                <w:rFonts w:ascii="微软雅黑" w:hAnsi="微软雅黑" w:eastAsia="微软雅黑" w:cs="微软雅黑"/>
                <w:b w:val="0"/>
                <w:i w:val="0"/>
                <w:color w:val="1F2937"/>
                <w:sz w:val="17"/>
              </w:rPr>
              <w:t>2026年9月25日</w:t>
            </w:r>
          </w:p>
        </w:tc>
      </w:tr>
      <w:tr>
        <w:trPr>
          <w:cantSplit/>
        </w:trPr>
        <w:tc>
          <w:tcPr>
            <w:tcW w:type="dxa" w:w="2160"/>
            <w:vAlign w:val="center"/>
            <w:shd w:fill="F8FAFC"/>
          </w:tcPr>
          <w:p>
            <w:pPr>
              <w:spacing w:before="30" w:after="30" w:line="276" w:lineRule="auto"/>
            </w:pPr>
            <w:r>
              <w:rPr>
                <w:rFonts w:ascii="微软雅黑" w:hAnsi="微软雅黑" w:eastAsia="微软雅黑" w:cs="微软雅黑"/>
                <w:b w:val="0"/>
                <w:i w:val="0"/>
                <w:color w:val="1F2937"/>
                <w:sz w:val="17"/>
              </w:rPr>
              <w:t>Phase 2: 架构设计与建模</w:t>
            </w:r>
          </w:p>
        </w:tc>
        <w:tc>
          <w:tcPr>
            <w:tcW w:type="dxa" w:w="3168"/>
            <w:vAlign w:val="center"/>
            <w:shd w:fill="F8FAFC"/>
          </w:tcPr>
          <w:p>
            <w:pPr>
              <w:spacing w:before="30" w:after="30" w:line="276" w:lineRule="auto"/>
            </w:pPr>
            <w:r>
              <w:rPr>
                <w:rFonts w:ascii="微软雅黑" w:hAnsi="微软雅黑" w:eastAsia="微软雅黑" w:cs="微软雅黑"/>
                <w:b w:val="0"/>
                <w:i w:val="0"/>
                <w:color w:val="1F2937"/>
                <w:sz w:val="17"/>
              </w:rPr>
              <w:t>Neo4j Schema 确立、UML 类图/时序图/用例图建模、原型线框图</w:t>
            </w:r>
          </w:p>
        </w:tc>
        <w:tc>
          <w:tcPr>
            <w:tcW w:type="dxa" w:w="2592"/>
            <w:vAlign w:val="center"/>
            <w:shd w:fill="F8FAFC"/>
          </w:tcPr>
          <w:p>
            <w:pPr>
              <w:spacing w:before="30" w:after="30" w:line="276" w:lineRule="auto"/>
            </w:pPr>
            <w:r>
              <w:rPr>
                <w:rFonts w:ascii="微软雅黑" w:hAnsi="微软雅黑" w:eastAsia="微软雅黑" w:cs="微软雅黑"/>
                <w:b w:val="0"/>
                <w:i w:val="0"/>
                <w:color w:val="1F2937"/>
                <w:sz w:val="17"/>
              </w:rPr>
              <w:t>架构设计基线与 Project Update 1</w:t>
            </w:r>
          </w:p>
        </w:tc>
        <w:tc>
          <w:tcPr>
            <w:tcW w:type="dxa" w:w="1440"/>
            <w:vAlign w:val="center"/>
            <w:shd w:fill="F8FAFC"/>
          </w:tcPr>
          <w:p>
            <w:pPr>
              <w:spacing w:before="30" w:after="30" w:line="276" w:lineRule="auto"/>
            </w:pPr>
            <w:r>
              <w:rPr>
                <w:rFonts w:ascii="微软雅黑" w:hAnsi="微软雅黑" w:eastAsia="微软雅黑" w:cs="微软雅黑"/>
                <w:b w:val="0"/>
                <w:i w:val="0"/>
                <w:color w:val="1F2937"/>
                <w:sz w:val="17"/>
              </w:rPr>
              <w:t>2026年10月31日</w:t>
            </w:r>
          </w:p>
        </w:tc>
      </w:tr>
      <w:tr>
        <w:trPr>
          <w:cantSplit/>
        </w:trPr>
        <w:tc>
          <w:tcPr>
            <w:tcW w:type="dxa" w:w="2160"/>
            <w:vAlign w:val="center"/>
          </w:tcPr>
          <w:p>
            <w:pPr>
              <w:spacing w:before="30" w:after="30" w:line="276" w:lineRule="auto"/>
            </w:pPr>
            <w:r>
              <w:rPr>
                <w:rFonts w:ascii="微软雅黑" w:hAnsi="微软雅黑" w:eastAsia="微软雅黑" w:cs="微软雅黑"/>
                <w:b w:val="0"/>
                <w:i w:val="0"/>
                <w:color w:val="1F2937"/>
                <w:sz w:val="17"/>
              </w:rPr>
              <w:t>Phase 3: PoC 开发与验证</w:t>
            </w:r>
          </w:p>
        </w:tc>
        <w:tc>
          <w:tcPr>
            <w:tcW w:type="dxa" w:w="3168"/>
            <w:vAlign w:val="center"/>
          </w:tcPr>
          <w:p>
            <w:pPr>
              <w:spacing w:before="30" w:after="30" w:line="276" w:lineRule="auto"/>
            </w:pPr>
            <w:r>
              <w:rPr>
                <w:rFonts w:ascii="微软雅黑" w:hAnsi="微软雅黑" w:eastAsia="微软雅黑" w:cs="微软雅黑"/>
                <w:b w:val="0"/>
                <w:i w:val="0"/>
                <w:color w:val="1F2937"/>
                <w:sz w:val="17"/>
              </w:rPr>
              <w:t>图谱接口开发、Qwen API 诊断对接、刷题引擎实现、单元测试</w:t>
            </w:r>
          </w:p>
        </w:tc>
        <w:tc>
          <w:tcPr>
            <w:tcW w:type="dxa" w:w="2592"/>
            <w:vAlign w:val="center"/>
          </w:tcPr>
          <w:p>
            <w:pPr>
              <w:spacing w:before="30" w:after="30" w:line="276" w:lineRule="auto"/>
            </w:pPr>
            <w:r>
              <w:rPr>
                <w:rFonts w:ascii="微软雅黑" w:hAnsi="微软雅黑" w:eastAsia="微软雅黑" w:cs="微软雅黑"/>
                <w:b w:val="0"/>
                <w:i w:val="0"/>
                <w:color w:val="1F2937"/>
                <w:sz w:val="17"/>
              </w:rPr>
              <w:t>软件代码冻结与 Project Update 2/3</w:t>
            </w:r>
          </w:p>
        </w:tc>
        <w:tc>
          <w:tcPr>
            <w:tcW w:type="dxa" w:w="1440"/>
            <w:vAlign w:val="center"/>
          </w:tcPr>
          <w:p>
            <w:pPr>
              <w:spacing w:before="30" w:after="30" w:line="276" w:lineRule="auto"/>
            </w:pPr>
            <w:r>
              <w:rPr>
                <w:rFonts w:ascii="微软雅黑" w:hAnsi="微软雅黑" w:eastAsia="微软雅黑" w:cs="微软雅黑"/>
                <w:b w:val="0"/>
                <w:i w:val="0"/>
                <w:color w:val="1F2937"/>
                <w:sz w:val="17"/>
              </w:rPr>
              <w:t>2026年11月30日</w:t>
            </w:r>
          </w:p>
        </w:tc>
      </w:tr>
      <w:tr>
        <w:trPr>
          <w:cantSplit/>
        </w:trPr>
        <w:tc>
          <w:tcPr>
            <w:tcW w:type="dxa" w:w="2160"/>
            <w:vAlign w:val="center"/>
            <w:shd w:fill="F8FAFC"/>
          </w:tcPr>
          <w:p>
            <w:pPr>
              <w:spacing w:before="30" w:after="30" w:line="276" w:lineRule="auto"/>
            </w:pPr>
            <w:r>
              <w:rPr>
                <w:rFonts w:ascii="微软雅黑" w:hAnsi="微软雅黑" w:eastAsia="微软雅黑" w:cs="微软雅黑"/>
                <w:b w:val="0"/>
                <w:i w:val="0"/>
                <w:color w:val="1F2937"/>
                <w:sz w:val="17"/>
              </w:rPr>
              <w:t>Phase 4: 终审交付与答辩</w:t>
            </w:r>
          </w:p>
        </w:tc>
        <w:tc>
          <w:tcPr>
            <w:tcW w:type="dxa" w:w="3168"/>
            <w:vAlign w:val="center"/>
            <w:shd w:fill="F8FAFC"/>
          </w:tcPr>
          <w:p>
            <w:pPr>
              <w:spacing w:before="30" w:after="30" w:line="276" w:lineRule="auto"/>
            </w:pPr>
            <w:r>
              <w:rPr>
                <w:rFonts w:ascii="微软雅黑" w:hAnsi="微软雅黑" w:eastAsia="微软雅黑" w:cs="微软雅黑"/>
                <w:b w:val="0"/>
                <w:i w:val="0"/>
                <w:color w:val="1F2937"/>
                <w:sz w:val="17"/>
              </w:rPr>
              <w:t>技术报告撰写、8-12页用户手册、15分钟视频录制与最终总装打包</w:t>
            </w:r>
          </w:p>
        </w:tc>
        <w:tc>
          <w:tcPr>
            <w:tcW w:type="dxa" w:w="2592"/>
            <w:vAlign w:val="center"/>
            <w:shd w:fill="F8FAFC"/>
          </w:tcPr>
          <w:p>
            <w:pPr>
              <w:spacing w:before="30" w:after="30" w:line="276" w:lineRule="auto"/>
            </w:pPr>
            <w:r>
              <w:rPr>
                <w:rFonts w:ascii="微软雅黑" w:hAnsi="微软雅黑" w:eastAsia="微软雅黑" w:cs="微软雅黑"/>
                <w:b w:val="0"/>
                <w:i w:val="0"/>
                <w:color w:val="1F2937"/>
                <w:sz w:val="17"/>
              </w:rPr>
              <w:t>技术报告 + 软件包 + 视频答辩</w:t>
            </w:r>
          </w:p>
        </w:tc>
        <w:tc>
          <w:tcPr>
            <w:tcW w:type="dxa" w:w="1440"/>
            <w:vAlign w:val="center"/>
            <w:shd w:fill="F8FAFC"/>
          </w:tcPr>
          <w:p>
            <w:pPr>
              <w:spacing w:before="30" w:after="30" w:line="276" w:lineRule="auto"/>
            </w:pPr>
            <w:r>
              <w:rPr>
                <w:rFonts w:ascii="微软雅黑" w:hAnsi="微软雅黑" w:eastAsia="微软雅黑" w:cs="微软雅黑"/>
                <w:b w:val="0"/>
                <w:i w:val="0"/>
                <w:color w:val="1F2937"/>
                <w:sz w:val="17"/>
              </w:rPr>
              <w:t>2026年12月14日</w:t>
            </w:r>
          </w:p>
        </w:tc>
      </w:tr>
    </w:tbl>
    <w:tbl>
      <w:tblPr>
        <w:tblW w:type="auto" w:w="0"/>
        <w:jc w:val="center"/>
        <w:tblLook w:firstColumn="1" w:firstRow="1" w:lastColumn="0" w:lastRow="0" w:noHBand="0" w:noVBand="1" w:val="04A0"/>
      </w:tblPr>
      <w:tblGrid>
        <w:gridCol w:w="9602"/>
      </w:tblGrid>
      <w:tr>
        <w:tc>
          <w:tcPr>
            <w:tcW w:type="dxa" w:w="9360"/>
            <w:shd w:fill="F1F5F9"/>
            <w:tcBorders>
              <w:top w:val="none"/>
              <w:left w:val="single" w:sz="24" w:space="0" w:color="1E3A8A"/>
              <w:bottom w:val="none"/>
              <w:right w:val="none"/>
            </w:tcBorders>
          </w:tcPr>
          <w:p>
            <w:pPr>
              <w:spacing w:before="60" w:after="60" w:line="283" w:lineRule="auto"/>
            </w:pPr>
            <w:r>
              <w:rPr>
                <w:rFonts w:ascii="微软雅黑" w:hAnsi="微软雅黑" w:eastAsia="微软雅黑" w:cs="微软雅黑"/>
                <w:b w:val="0"/>
                <w:i w:val="0"/>
                <w:color w:val="1B365D"/>
                <w:sz w:val="18"/>
              </w:rPr>
              <w:t>📌 【重要提交节点速记】</w:t>
              <w:br/>
              <w:t>• 9月25日 (第2周周五)：MyAberdeen 提交正式 Project Proposal PDF（由队长吴宇轩提交）。</w:t>
              <w:br/>
              <w:t>• 10月23日：提交 Project Update 1（架构设计）。</w:t>
              <w:br/>
              <w:t>• 11月06日：提交 Project Update 2（中间进展）。</w:t>
              <w:br/>
              <w:t>• 11月25日：提交 Project Update 3（原型代码与测试）。</w:t>
              <w:br/>
              <w:t>• 12月14日 (第12周周一)：提交最终技术报告 (50%) + 软件代码与手册 (30%) + 答辩视频 (20%)。</w:t>
            </w:r>
          </w:p>
        </w:tc>
      </w:tr>
    </w:tbl>
    <w:p>
      <w:r>
        <w:br w:type="page"/>
      </w:r>
    </w:p>
    <w:p>
      <w:pPr>
        <w:keepNext/>
        <w:spacing w:before="280" w:after="80" w:line="276" w:lineRule="auto"/>
      </w:pPr>
      <w:r>
        <w:rPr>
          <w:rFonts w:ascii="微软雅黑" w:hAnsi="微软雅黑" w:eastAsia="微软雅黑" w:cs="微软雅黑"/>
          <w:b/>
          <w:i w:val="0"/>
          <w:color w:val="1B365D"/>
          <w:sz w:val="26"/>
        </w:rPr>
        <w:t>六、 项目工程模块与研发任务清单 (Work Breakdown Structure)</w:t>
      </w:r>
    </w:p>
    <w:p>
      <w:pPr>
        <w:spacing w:before="0" w:after="70" w:line="293" w:lineRule="auto"/>
      </w:pPr>
      <w:r>
        <w:rPr>
          <w:rFonts w:ascii="微软雅黑" w:hAnsi="微软雅黑" w:eastAsia="微软雅黑" w:cs="微软雅黑"/>
          <w:b w:val="0"/>
          <w:i w:val="0"/>
          <w:color w:val="1F2937"/>
          <w:sz w:val="18"/>
        </w:rPr>
        <w:t>围绕系统实现与课程验收标准，项目整体划分为 13 项具体的工程研发与文档交付任务，全组后续按工程模块统筹推进：</w:t>
      </w:r>
    </w:p>
    <w:tbl>
      <w:tblPr>
        <w:tblW w:type="auto" w:w="0"/>
        <w:jc w:val="center"/>
        <w:tblLook w:firstColumn="1" w:firstRow="1" w:lastColumn="0" w:lastRow="0" w:noHBand="0" w:noVBand="1" w:val="04A0"/>
        <w:tblBorders>
          <w:top w:val="single" w:sz="8" w:space="0" w:color="1B365D"/>
          <w:left w:val="none"/>
          <w:bottom w:val="single" w:sz="8" w:space="0" w:color="1B365D"/>
          <w:right w:val="none"/>
          <w:insideH w:val="single" w:sz="4" w:space="0" w:color="CBD5E1"/>
          <w:insideV w:val="none"/>
        </w:tblBorders>
        <w:tblCellMar>
          <w:top w:w="90" w:type="dxa"/>
          <w:bottom w:w="90" w:type="dxa"/>
          <w:left w:w="120" w:type="dxa"/>
          <w:right w:w="120" w:type="dxa"/>
        </w:tblCellMar>
      </w:tblPr>
      <w:tblGrid>
        <w:gridCol w:w="2400"/>
        <w:gridCol w:w="2400"/>
        <w:gridCol w:w="2400"/>
        <w:gridCol w:w="2400"/>
      </w:tblGrid>
      <w:tr>
        <w:trPr>
          <w:tblHeader/>
          <w:cantSplit/>
        </w:trPr>
        <w:tc>
          <w:tcPr>
            <w:tcW w:type="dxa" w:w="1296"/>
            <w:vAlign w:val="center"/>
            <w:shd w:fill="1B365D"/>
          </w:tcPr>
          <w:p>
            <w:pPr>
              <w:spacing w:before="40" w:after="40" w:line="276" w:lineRule="auto"/>
            </w:pPr>
            <w:r>
              <w:rPr>
                <w:rFonts w:ascii="微软雅黑" w:hAnsi="微软雅黑" w:eastAsia="微软雅黑" w:cs="微软雅黑"/>
                <w:b/>
                <w:i w:val="0"/>
                <w:color w:val="FFFFFF"/>
                <w:sz w:val="18"/>
              </w:rPr>
              <w:t>任务编号</w:t>
            </w:r>
          </w:p>
        </w:tc>
        <w:tc>
          <w:tcPr>
            <w:tcW w:type="dxa" w:w="4608"/>
            <w:vAlign w:val="center"/>
            <w:shd w:fill="1B365D"/>
          </w:tcPr>
          <w:p>
            <w:pPr>
              <w:spacing w:before="40" w:after="40" w:line="276" w:lineRule="auto"/>
            </w:pPr>
            <w:r>
              <w:rPr>
                <w:rFonts w:ascii="微软雅黑" w:hAnsi="微软雅黑" w:eastAsia="微软雅黑" w:cs="微软雅黑"/>
                <w:b/>
                <w:i w:val="0"/>
                <w:color w:val="FFFFFF"/>
                <w:sz w:val="18"/>
              </w:rPr>
              <w:t>具体工程任务与核心输出</w:t>
            </w:r>
          </w:p>
        </w:tc>
        <w:tc>
          <w:tcPr>
            <w:tcW w:type="dxa" w:w="1728"/>
            <w:vAlign w:val="center"/>
            <w:shd w:fill="1B365D"/>
          </w:tcPr>
          <w:p>
            <w:pPr>
              <w:spacing w:before="40" w:after="40" w:line="276" w:lineRule="auto"/>
            </w:pPr>
            <w:r>
              <w:rPr>
                <w:rFonts w:ascii="微软雅黑" w:hAnsi="微软雅黑" w:eastAsia="微软雅黑" w:cs="微软雅黑"/>
                <w:b/>
                <w:i w:val="0"/>
                <w:color w:val="FFFFFF"/>
                <w:sz w:val="18"/>
              </w:rPr>
              <w:t>所属系统模块</w:t>
            </w:r>
          </w:p>
        </w:tc>
        <w:tc>
          <w:tcPr>
            <w:tcW w:type="dxa" w:w="1728"/>
            <w:vAlign w:val="center"/>
            <w:shd w:fill="1B365D"/>
          </w:tcPr>
          <w:p>
            <w:pPr>
              <w:spacing w:before="40" w:after="40" w:line="276" w:lineRule="auto"/>
            </w:pPr>
            <w:r>
              <w:rPr>
                <w:rFonts w:ascii="微软雅黑" w:hAnsi="微软雅黑" w:eastAsia="微软雅黑" w:cs="微软雅黑"/>
                <w:b/>
                <w:i w:val="0"/>
                <w:color w:val="FFFFFF"/>
                <w:sz w:val="18"/>
              </w:rPr>
              <w:t>交付周期与状态</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1.1</w:t>
            </w:r>
          </w:p>
        </w:tc>
        <w:tc>
          <w:tcPr>
            <w:tcW w:type="dxa" w:w="4608"/>
            <w:vAlign w:val="center"/>
          </w:tcPr>
          <w:p>
            <w:pPr>
              <w:spacing w:before="30" w:after="30" w:line="276" w:lineRule="auto"/>
            </w:pPr>
            <w:r>
              <w:rPr>
                <w:rFonts w:ascii="微软雅黑" w:hAnsi="微软雅黑" w:eastAsia="微软雅黑" w:cs="微软雅黑"/>
                <w:b w:val="0"/>
                <w:i w:val="0"/>
                <w:color w:val="1F2937"/>
                <w:sz w:val="17"/>
              </w:rPr>
              <w:t>用户需求调研、备考痛点捕获与需求规格说明书整理</w:t>
            </w:r>
          </w:p>
        </w:tc>
        <w:tc>
          <w:tcPr>
            <w:tcW w:type="dxa" w:w="1728"/>
            <w:vAlign w:val="center"/>
          </w:tcPr>
          <w:p>
            <w:pPr>
              <w:spacing w:before="30" w:after="30" w:line="276" w:lineRule="auto"/>
            </w:pPr>
            <w:r>
              <w:rPr>
                <w:rFonts w:ascii="微软雅黑" w:hAnsi="微软雅黑" w:eastAsia="微软雅黑" w:cs="微软雅黑"/>
                <w:b w:val="0"/>
                <w:i w:val="0"/>
                <w:color w:val="1F2937"/>
                <w:sz w:val="17"/>
              </w:rPr>
              <w:t>需求分析模块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1 (已完成)</w:t>
            </w:r>
          </w:p>
        </w:tc>
      </w:tr>
      <w:tr>
        <w:trPr>
          <w:cantSplit/>
        </w:trPr>
        <w:tc>
          <w:tcPr>
            <w:tcW w:type="dxa" w:w="1296"/>
            <w:vAlign w:val="center"/>
            <w:shd w:fill="F8FAFC"/>
          </w:tcPr>
          <w:p>
            <w:pPr>
              <w:spacing w:before="30" w:after="30" w:line="276" w:lineRule="auto"/>
            </w:pPr>
            <w:r>
              <w:rPr>
                <w:rFonts w:ascii="微软雅黑" w:hAnsi="微软雅黑" w:eastAsia="微软雅黑" w:cs="微软雅黑"/>
                <w:b w:val="0"/>
                <w:i w:val="0"/>
                <w:color w:val="1F2937"/>
                <w:sz w:val="17"/>
              </w:rPr>
              <w:t>WBS 1.2</w:t>
            </w:r>
          </w:p>
        </w:tc>
        <w:tc>
          <w:tcPr>
            <w:tcW w:type="dxa" w:w="4608"/>
            <w:vAlign w:val="center"/>
            <w:shd w:fill="F8FAFC"/>
          </w:tcPr>
          <w:p>
            <w:pPr>
              <w:spacing w:before="30" w:after="30" w:line="276" w:lineRule="auto"/>
            </w:pPr>
            <w:r>
              <w:rPr>
                <w:rFonts w:ascii="微软雅黑" w:hAnsi="微软雅黑" w:eastAsia="微软雅黑" w:cs="微软雅黑"/>
                <w:b w:val="0"/>
                <w:i w:val="0"/>
                <w:color w:val="1F2937"/>
                <w:sz w:val="17"/>
              </w:rPr>
              <w:t>开题报告整体统筹、格式排版校验与 MyAberdeen 提交</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开题管理模块</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Phase 1 (进行中)</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2.1</w:t>
            </w:r>
          </w:p>
        </w:tc>
        <w:tc>
          <w:tcPr>
            <w:tcW w:type="dxa" w:w="4608"/>
            <w:vAlign w:val="center"/>
          </w:tcPr>
          <w:p>
            <w:pPr>
              <w:spacing w:before="30" w:after="30" w:line="276" w:lineRule="auto"/>
            </w:pPr>
            <w:r>
              <w:rPr>
                <w:rFonts w:ascii="微软雅黑" w:hAnsi="微软雅黑" w:eastAsia="微软雅黑" w:cs="微软雅黑"/>
                <w:b w:val="0"/>
                <w:i w:val="0"/>
                <w:color w:val="1F2937"/>
                <w:sz w:val="17"/>
              </w:rPr>
              <w:t>Neo4j 图数据库知识图谱 Schema 与'易错于'关系本体设计</w:t>
            </w:r>
          </w:p>
        </w:tc>
        <w:tc>
          <w:tcPr>
            <w:tcW w:type="dxa" w:w="1728"/>
            <w:vAlign w:val="center"/>
          </w:tcPr>
          <w:p>
            <w:pPr>
              <w:spacing w:before="30" w:after="30" w:line="276" w:lineRule="auto"/>
            </w:pPr>
            <w:r>
              <w:rPr>
                <w:rFonts w:ascii="微软雅黑" w:hAnsi="微软雅黑" w:eastAsia="微软雅黑" w:cs="微软雅黑"/>
                <w:b w:val="0"/>
                <w:i w:val="0"/>
                <w:color w:val="1F2937"/>
                <w:sz w:val="17"/>
              </w:rPr>
              <w:t>数据图谱模块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2 (进行中)</w:t>
            </w:r>
          </w:p>
        </w:tc>
      </w:tr>
      <w:tr>
        <w:trPr>
          <w:cantSplit/>
        </w:trPr>
        <w:tc>
          <w:tcPr>
            <w:tcW w:type="dxa" w:w="1296"/>
            <w:vAlign w:val="center"/>
            <w:shd w:fill="F8FAFC"/>
          </w:tcPr>
          <w:p>
            <w:pPr>
              <w:spacing w:before="30" w:after="30" w:line="276" w:lineRule="auto"/>
            </w:pPr>
            <w:r>
              <w:rPr>
                <w:rFonts w:ascii="微软雅黑" w:hAnsi="微软雅黑" w:eastAsia="微软雅黑" w:cs="微软雅黑"/>
                <w:b w:val="0"/>
                <w:i w:val="0"/>
                <w:color w:val="1F2937"/>
                <w:sz w:val="17"/>
              </w:rPr>
              <w:t>WBS 2.2</w:t>
            </w:r>
          </w:p>
        </w:tc>
        <w:tc>
          <w:tcPr>
            <w:tcW w:type="dxa" w:w="4608"/>
            <w:vAlign w:val="center"/>
            <w:shd w:fill="F8FAFC"/>
          </w:tcPr>
          <w:p>
            <w:pPr>
              <w:spacing w:before="30" w:after="30" w:line="276" w:lineRule="auto"/>
            </w:pPr>
            <w:r>
              <w:rPr>
                <w:rFonts w:ascii="微软雅黑" w:hAnsi="微软雅黑" w:eastAsia="微软雅黑" w:cs="微软雅黑"/>
                <w:b w:val="0"/>
                <w:i w:val="0"/>
                <w:color w:val="1F2937"/>
                <w:sz w:val="17"/>
              </w:rPr>
              <w:t>系统 UML 架构建模（类图、时序图、用例图、包图）</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系统架构模块</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Phase 2 (待启动)</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3.1</w:t>
            </w:r>
          </w:p>
        </w:tc>
        <w:tc>
          <w:tcPr>
            <w:tcW w:type="dxa" w:w="4608"/>
            <w:vAlign w:val="center"/>
          </w:tcPr>
          <w:p>
            <w:pPr>
              <w:spacing w:before="30" w:after="30" w:line="276" w:lineRule="auto"/>
            </w:pPr>
            <w:r>
              <w:rPr>
                <w:rFonts w:ascii="微软雅黑" w:hAnsi="微软雅黑" w:eastAsia="微软雅黑" w:cs="微软雅黑"/>
                <w:b w:val="0"/>
                <w:i w:val="0"/>
                <w:color w:val="1F2937"/>
                <w:sz w:val="17"/>
              </w:rPr>
              <w:t>Qwen-Turbo 大模型考点与错题陷阱自动抽取引擎开发</w:t>
            </w:r>
          </w:p>
        </w:tc>
        <w:tc>
          <w:tcPr>
            <w:tcW w:type="dxa" w:w="1728"/>
            <w:vAlign w:val="center"/>
          </w:tcPr>
          <w:p>
            <w:pPr>
              <w:spacing w:before="30" w:after="30" w:line="276" w:lineRule="auto"/>
            </w:pPr>
            <w:r>
              <w:rPr>
                <w:rFonts w:ascii="微软雅黑" w:hAnsi="微软雅黑" w:eastAsia="微软雅黑" w:cs="微软雅黑"/>
                <w:b w:val="0"/>
                <w:i w:val="0"/>
                <w:color w:val="1F2937"/>
                <w:sz w:val="17"/>
              </w:rPr>
              <w:t>后端算法模块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3 (待启动)</w:t>
            </w:r>
          </w:p>
        </w:tc>
      </w:tr>
      <w:tr>
        <w:trPr>
          <w:cantSplit/>
        </w:trPr>
        <w:tc>
          <w:tcPr>
            <w:tcW w:type="dxa" w:w="1296"/>
            <w:vAlign w:val="center"/>
            <w:shd w:fill="F8FAFC"/>
          </w:tcPr>
          <w:p>
            <w:pPr>
              <w:spacing w:before="30" w:after="30" w:line="276" w:lineRule="auto"/>
            </w:pPr>
            <w:r>
              <w:rPr>
                <w:rFonts w:ascii="微软雅黑" w:hAnsi="微软雅黑" w:eastAsia="微软雅黑" w:cs="微软雅黑"/>
                <w:b w:val="0"/>
                <w:i w:val="0"/>
                <w:color w:val="1F2937"/>
                <w:sz w:val="17"/>
              </w:rPr>
              <w:t>WBS 3.2</w:t>
            </w:r>
          </w:p>
        </w:tc>
        <w:tc>
          <w:tcPr>
            <w:tcW w:type="dxa" w:w="4608"/>
            <w:vAlign w:val="center"/>
            <w:shd w:fill="F8FAFC"/>
          </w:tcPr>
          <w:p>
            <w:pPr>
              <w:spacing w:before="30" w:after="30" w:line="276" w:lineRule="auto"/>
            </w:pPr>
            <w:r>
              <w:rPr>
                <w:rFonts w:ascii="微软雅黑" w:hAnsi="微软雅黑" w:eastAsia="微软雅黑" w:cs="微软雅黑"/>
                <w:b w:val="0"/>
                <w:i w:val="0"/>
                <w:color w:val="1F2937"/>
                <w:sz w:val="17"/>
              </w:rPr>
              <w:t>GraphRAG 检索流水线与启发式苏格拉底导学助教内核开发</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导学助教模块</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Phase 3 (待启动)</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3.3</w:t>
            </w:r>
          </w:p>
        </w:tc>
        <w:tc>
          <w:tcPr>
            <w:tcW w:type="dxa" w:w="4608"/>
            <w:vAlign w:val="center"/>
          </w:tcPr>
          <w:p>
            <w:pPr>
              <w:spacing w:before="30" w:after="30" w:line="276" w:lineRule="auto"/>
            </w:pPr>
            <w:r>
              <w:rPr>
                <w:rFonts w:ascii="微软雅黑" w:hAnsi="微软雅黑" w:eastAsia="微软雅黑" w:cs="微软雅黑"/>
                <w:b w:val="0"/>
                <w:i w:val="0"/>
                <w:color w:val="1F2937"/>
                <w:sz w:val="17"/>
              </w:rPr>
              <w:t>自适应诊断刷题前端与 ECharts 5.5.1 五维能力雷达图开发</w:t>
            </w:r>
          </w:p>
        </w:tc>
        <w:tc>
          <w:tcPr>
            <w:tcW w:type="dxa" w:w="1728"/>
            <w:vAlign w:val="center"/>
          </w:tcPr>
          <w:p>
            <w:pPr>
              <w:spacing w:before="30" w:after="30" w:line="276" w:lineRule="auto"/>
            </w:pPr>
            <w:r>
              <w:rPr>
                <w:rFonts w:ascii="微软雅黑" w:hAnsi="微软雅黑" w:eastAsia="微软雅黑" w:cs="微软雅黑"/>
                <w:b w:val="0"/>
                <w:i w:val="0"/>
                <w:color w:val="1F2937"/>
                <w:sz w:val="17"/>
              </w:rPr>
              <w:t>前端交互模块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3 (待启动)</w:t>
            </w:r>
          </w:p>
        </w:tc>
      </w:tr>
      <w:tr>
        <w:trPr>
          <w:cantSplit/>
        </w:trPr>
        <w:tc>
          <w:tcPr>
            <w:tcW w:type="dxa" w:w="1296"/>
            <w:vAlign w:val="center"/>
            <w:shd w:fill="F8FAFC"/>
          </w:tcPr>
          <w:p>
            <w:pPr>
              <w:spacing w:before="30" w:after="30" w:line="276" w:lineRule="auto"/>
            </w:pPr>
            <w:r>
              <w:rPr>
                <w:rFonts w:ascii="微软雅黑" w:hAnsi="微软雅黑" w:eastAsia="微软雅黑" w:cs="微软雅黑"/>
                <w:b w:val="0"/>
                <w:i w:val="0"/>
                <w:color w:val="1F2937"/>
                <w:sz w:val="17"/>
              </w:rPr>
              <w:t>WBS 3.4</w:t>
            </w:r>
          </w:p>
        </w:tc>
        <w:tc>
          <w:tcPr>
            <w:tcW w:type="dxa" w:w="4608"/>
            <w:vAlign w:val="center"/>
            <w:shd w:fill="F8FAFC"/>
          </w:tcPr>
          <w:p>
            <w:pPr>
              <w:spacing w:before="30" w:after="30" w:line="276" w:lineRule="auto"/>
            </w:pPr>
            <w:r>
              <w:rPr>
                <w:rFonts w:ascii="微软雅黑" w:hAnsi="微软雅黑" w:eastAsia="微软雅黑" w:cs="微软雅黑"/>
                <w:b w:val="0"/>
                <w:i w:val="0"/>
                <w:color w:val="1F2937"/>
                <w:sz w:val="17"/>
              </w:rPr>
              <w:t>Pytest 单元测试集构建、Cypher 模拟测试与异常退避处理</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测试质保模块</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Phase 3 (待启动)</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4.1</w:t>
            </w:r>
          </w:p>
        </w:tc>
        <w:tc>
          <w:tcPr>
            <w:tcW w:type="dxa" w:w="4608"/>
            <w:vAlign w:val="center"/>
          </w:tcPr>
          <w:p>
            <w:pPr>
              <w:spacing w:before="30" w:after="30" w:line="276" w:lineRule="auto"/>
            </w:pPr>
            <w:r>
              <w:rPr>
                <w:rFonts w:ascii="微软雅黑" w:hAnsi="微软雅黑" w:eastAsia="微软雅黑" w:cs="微软雅黑"/>
                <w:b w:val="0"/>
                <w:i w:val="0"/>
                <w:color w:val="1F2937"/>
                <w:sz w:val="17"/>
              </w:rPr>
              <w:t>多学科真题考卷测试与学术仲裁抗噪过滤门禁调优</w:t>
            </w:r>
          </w:p>
        </w:tc>
        <w:tc>
          <w:tcPr>
            <w:tcW w:type="dxa" w:w="1728"/>
            <w:vAlign w:val="center"/>
          </w:tcPr>
          <w:p>
            <w:pPr>
              <w:spacing w:before="30" w:after="30" w:line="276" w:lineRule="auto"/>
            </w:pPr>
            <w:r>
              <w:rPr>
                <w:rFonts w:ascii="微软雅黑" w:hAnsi="微软雅黑" w:eastAsia="微软雅黑" w:cs="微软雅黑"/>
                <w:b w:val="0"/>
                <w:i w:val="0"/>
                <w:color w:val="1F2937"/>
                <w:sz w:val="17"/>
              </w:rPr>
              <w:t>算法评测模块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4 (待启动)</w:t>
            </w:r>
          </w:p>
        </w:tc>
      </w:tr>
      <w:tr>
        <w:trPr>
          <w:cantSplit/>
        </w:trPr>
        <w:tc>
          <w:tcPr>
            <w:tcW w:type="dxa" w:w="1296"/>
            <w:vAlign w:val="center"/>
            <w:shd w:fill="F8FAFC"/>
          </w:tcPr>
          <w:p>
            <w:pPr>
              <w:spacing w:before="30" w:after="30" w:line="276" w:lineRule="auto"/>
            </w:pPr>
            <w:r>
              <w:rPr>
                <w:rFonts w:ascii="微软雅黑" w:hAnsi="微软雅黑" w:eastAsia="微软雅黑" w:cs="微软雅黑"/>
                <w:b w:val="0"/>
                <w:i w:val="0"/>
                <w:color w:val="1F2937"/>
                <w:sz w:val="17"/>
              </w:rPr>
              <w:t>WBS 4.2</w:t>
            </w:r>
          </w:p>
        </w:tc>
        <w:tc>
          <w:tcPr>
            <w:tcW w:type="dxa" w:w="4608"/>
            <w:vAlign w:val="center"/>
            <w:shd w:fill="F8FAFC"/>
          </w:tcPr>
          <w:p>
            <w:pPr>
              <w:spacing w:before="30" w:after="30" w:line="276" w:lineRule="auto"/>
            </w:pPr>
            <w:r>
              <w:rPr>
                <w:rFonts w:ascii="微软雅黑" w:hAnsi="微软雅黑" w:eastAsia="微软雅黑" w:cs="微软雅黑"/>
                <w:b w:val="0"/>
                <w:i w:val="0"/>
                <w:color w:val="1F2937"/>
                <w:sz w:val="17"/>
              </w:rPr>
              <w:t>正式技术报告撰写 (40–60页)、UML模型集成与查重控制</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核心文档模块</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Phase 4 (待启动)</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4.3</w:t>
            </w:r>
          </w:p>
        </w:tc>
        <w:tc>
          <w:tcPr>
            <w:tcW w:type="dxa" w:w="4608"/>
            <w:vAlign w:val="center"/>
          </w:tcPr>
          <w:p>
            <w:pPr>
              <w:spacing w:before="30" w:after="30" w:line="276" w:lineRule="auto"/>
            </w:pPr>
            <w:r>
              <w:rPr>
                <w:rFonts w:ascii="微软雅黑" w:hAnsi="微软雅黑" w:eastAsia="微软雅黑" w:cs="微软雅黑"/>
                <w:b w:val="0"/>
                <w:i w:val="0"/>
                <w:color w:val="1F2937"/>
                <w:sz w:val="17"/>
              </w:rPr>
              <w:t>用户手册编撰 (8–12页) 与 PoC 可运行软件包一键部署脚本</w:t>
            </w:r>
          </w:p>
        </w:tc>
        <w:tc>
          <w:tcPr>
            <w:tcW w:type="dxa" w:w="1728"/>
            <w:vAlign w:val="center"/>
          </w:tcPr>
          <w:p>
            <w:pPr>
              <w:spacing w:before="30" w:after="30" w:line="276" w:lineRule="auto"/>
            </w:pPr>
            <w:r>
              <w:rPr>
                <w:rFonts w:ascii="微软雅黑" w:hAnsi="微软雅黑" w:eastAsia="微软雅黑" w:cs="微软雅黑"/>
                <w:b w:val="0"/>
                <w:i w:val="0"/>
                <w:color w:val="1F2937"/>
                <w:sz w:val="17"/>
              </w:rPr>
              <w:t>部署手册模块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4 (待启动)</w:t>
            </w:r>
          </w:p>
        </w:tc>
      </w:tr>
      <w:tr>
        <w:trPr>
          <w:cantSplit/>
        </w:trPr>
        <w:tc>
          <w:tcPr>
            <w:tcW w:type="dxa" w:w="1296"/>
            <w:vAlign w:val="center"/>
            <w:shd w:fill="F8FAFC"/>
          </w:tcPr>
          <w:p>
            <w:pPr>
              <w:spacing w:before="30" w:after="30" w:line="276" w:lineRule="auto"/>
            </w:pPr>
            <w:r>
              <w:rPr>
                <w:rFonts w:ascii="微软雅黑" w:hAnsi="微软雅黑" w:eastAsia="微软雅黑" w:cs="微软雅黑"/>
                <w:b w:val="0"/>
                <w:i w:val="0"/>
                <w:color w:val="1F2937"/>
                <w:sz w:val="17"/>
              </w:rPr>
              <w:t>WBS 4.4</w:t>
            </w:r>
          </w:p>
        </w:tc>
        <w:tc>
          <w:tcPr>
            <w:tcW w:type="dxa" w:w="4608"/>
            <w:vAlign w:val="center"/>
            <w:shd w:fill="F8FAFC"/>
          </w:tcPr>
          <w:p>
            <w:pPr>
              <w:spacing w:before="30" w:after="30" w:line="276" w:lineRule="auto"/>
            </w:pPr>
            <w:r>
              <w:rPr>
                <w:rFonts w:ascii="微软雅黑" w:hAnsi="微软雅黑" w:eastAsia="微软雅黑" w:cs="微软雅黑"/>
                <w:b w:val="0"/>
                <w:i w:val="0"/>
                <w:color w:val="1F2937"/>
                <w:sz w:val="17"/>
              </w:rPr>
              <w:t>15 分钟高清答辩视频录制、剪辑与全套展示 PPT 排版制作</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答辩展示模块</w:t>
            </w:r>
          </w:p>
        </w:tc>
        <w:tc>
          <w:tcPr>
            <w:tcW w:type="dxa" w:w="1728"/>
            <w:vAlign w:val="center"/>
            <w:shd w:fill="F8FAFC"/>
          </w:tcPr>
          <w:p>
            <w:pPr>
              <w:spacing w:before="30" w:after="30" w:line="276" w:lineRule="auto"/>
            </w:pPr>
            <w:r>
              <w:rPr>
                <w:rFonts w:ascii="微软雅黑" w:hAnsi="微软雅黑" w:eastAsia="微软雅黑" w:cs="微软雅黑"/>
                <w:b w:val="0"/>
                <w:i w:val="0"/>
                <w:color w:val="1F2937"/>
                <w:sz w:val="17"/>
              </w:rPr>
              <w:t>Phase 4 (待启动)</w:t>
            </w:r>
          </w:p>
        </w:tc>
      </w:tr>
      <w:tr>
        <w:trPr>
          <w:cantSplit/>
        </w:trPr>
        <w:tc>
          <w:tcPr>
            <w:tcW w:type="dxa" w:w="1296"/>
            <w:vAlign w:val="center"/>
          </w:tcPr>
          <w:p>
            <w:pPr>
              <w:spacing w:before="30" w:after="30" w:line="276" w:lineRule="auto"/>
            </w:pPr>
            <w:r>
              <w:rPr>
                <w:rFonts w:ascii="微软雅黑" w:hAnsi="微软雅黑" w:eastAsia="微软雅黑" w:cs="微软雅黑"/>
                <w:b w:val="0"/>
                <w:i w:val="0"/>
                <w:color w:val="1F2937"/>
                <w:sz w:val="17"/>
              </w:rPr>
              <w:t>WBS 4.5</w:t>
            </w:r>
          </w:p>
        </w:tc>
        <w:tc>
          <w:tcPr>
            <w:tcW w:type="dxa" w:w="4608"/>
            <w:vAlign w:val="center"/>
          </w:tcPr>
          <w:p>
            <w:pPr>
              <w:spacing w:before="30" w:after="30" w:line="276" w:lineRule="auto"/>
            </w:pPr>
            <w:r>
              <w:rPr>
                <w:rFonts w:ascii="微软雅黑" w:hAnsi="微软雅黑" w:eastAsia="微软雅黑" w:cs="微软雅黑"/>
                <w:b w:val="0"/>
                <w:i w:val="0"/>
                <w:color w:val="1F2937"/>
                <w:sz w:val="17"/>
              </w:rPr>
              <w:t>期末全套三联交付物质量门禁终审与 MyAberdeen 最终上传</w:t>
            </w:r>
          </w:p>
        </w:tc>
        <w:tc>
          <w:tcPr>
            <w:tcW w:type="dxa" w:w="1728"/>
            <w:vAlign w:val="center"/>
          </w:tcPr>
          <w:p>
            <w:pPr>
              <w:spacing w:before="30" w:after="30" w:line="276" w:lineRule="auto"/>
            </w:pPr>
            <w:r>
              <w:rPr>
                <w:rFonts w:ascii="微软雅黑" w:hAnsi="微软雅黑" w:eastAsia="微软雅黑" w:cs="微软雅黑"/>
                <w:b w:val="0"/>
                <w:i w:val="0"/>
                <w:color w:val="1F2937"/>
                <w:sz w:val="17"/>
              </w:rPr>
              <w:t>总装验收模块</w:t>
            </w:r>
          </w:p>
        </w:tc>
        <w:tc>
          <w:tcPr>
            <w:tcW w:type="dxa" w:w="1728"/>
            <w:vAlign w:val="center"/>
          </w:tcPr>
          <w:p>
            <w:pPr>
              <w:spacing w:before="30" w:after="30" w:line="276" w:lineRule="auto"/>
            </w:pPr>
            <w:r>
              <w:rPr>
                <w:rFonts w:ascii="微软雅黑" w:hAnsi="微软雅黑" w:eastAsia="微软雅黑" w:cs="微软雅黑"/>
                <w:b w:val="0"/>
                <w:i w:val="0"/>
                <w:color w:val="1F2937"/>
                <w:sz w:val="17"/>
              </w:rPr>
              <w:t>Phase 4 (待启动)</w:t>
            </w:r>
          </w:p>
        </w:tc>
      </w:tr>
    </w:tbl>
    <w:p>
      <w:r>
        <w:br w:type="page"/>
      </w:r>
    </w:p>
    <w:p>
      <w:pPr>
        <w:keepNext/>
        <w:spacing w:before="280" w:after="80" w:line="276" w:lineRule="auto"/>
      </w:pPr>
      <w:r>
        <w:rPr>
          <w:rFonts w:ascii="微软雅黑" w:hAnsi="微软雅黑" w:eastAsia="微软雅黑" w:cs="微软雅黑"/>
          <w:b/>
          <w:i w:val="0"/>
          <w:color w:val="1B365D"/>
          <w:sz w:val="26"/>
        </w:rPr>
        <w:t>七、 项目风险管理与应对预案 (Risk Management)</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1. 数据库配额风险：</w:t>
      </w:r>
      <w:r>
        <w:rPr>
          <w:rFonts w:ascii="微软雅黑" w:hAnsi="微软雅黑" w:eastAsia="微软雅黑" w:cs="微软雅黑"/>
          <w:b w:val="0"/>
          <w:i w:val="0"/>
          <w:color w:val="1F2937"/>
          <w:sz w:val="18"/>
        </w:rPr>
        <w:t>Neo4j AuraDB 免费版存在 20 万节点上限与内存限制。应对对策：实施知识节点高度规范化去重，严格设置缓存与索引，测试期本地轻量部署备份。</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2. 大模型 API 限流风险：</w:t>
      </w:r>
      <w:r>
        <w:rPr>
          <w:rFonts w:ascii="微软雅黑" w:hAnsi="微软雅黑" w:eastAsia="微软雅黑" w:cs="微软雅黑"/>
          <w:b w:val="0"/>
          <w:i w:val="0"/>
          <w:color w:val="1F2937"/>
          <w:sz w:val="18"/>
        </w:rPr>
        <w:t>阿里云 DashScope 存在并发限流 (HTTP 429)。应对对策：代码层实现指数退避重试算法 (Exponential Backoff with Jitter)，并在本地建立真题缓存池。</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3. 团队成员精力冲突风险：</w:t>
      </w:r>
      <w:r>
        <w:rPr>
          <w:rFonts w:ascii="微软雅黑" w:hAnsi="微软雅黑" w:eastAsia="微软雅黑" w:cs="微软雅黑"/>
          <w:b w:val="0"/>
          <w:i w:val="0"/>
          <w:color w:val="1F2937"/>
          <w:sz w:val="18"/>
        </w:rPr>
        <w:t>第 7–8 周各学科期中考可能分散精力。应对对策：将 Phase 2 架构基线提前至 10 月 20 日冻结，预留 10 天弹性冲刺缓冲期。</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4. 学术诚信与查重风险：</w:t>
      </w:r>
      <w:r>
        <w:rPr>
          <w:rFonts w:ascii="微软雅黑" w:hAnsi="微软雅黑" w:eastAsia="微软雅黑" w:cs="微软雅黑"/>
          <w:b w:val="0"/>
          <w:i w:val="0"/>
          <w:color w:val="1F2937"/>
          <w:sz w:val="18"/>
        </w:rPr>
        <w:t>技术报告严禁粘贴代码且须通过 Turnitin 查重。应对对策：由专人严格把控，正文只展示算法拓扑、UML 模型与架构图，文本连续引用严禁超 3 句话。</w:t>
      </w:r>
    </w:p>
    <w:p>
      <w:pPr>
        <w:keepNext/>
        <w:spacing w:before="280" w:after="80" w:line="276" w:lineRule="auto"/>
      </w:pPr>
      <w:r>
        <w:rPr>
          <w:rFonts w:ascii="微软雅黑" w:hAnsi="微软雅黑" w:eastAsia="微软雅黑" w:cs="微软雅黑"/>
          <w:b/>
          <w:i w:val="0"/>
          <w:color w:val="1B365D"/>
          <w:sz w:val="26"/>
        </w:rPr>
        <w:t>八、 组员审阅重点与核对清单 (Review Checklist)</w:t>
      </w:r>
    </w:p>
    <w:p>
      <w:pPr>
        <w:spacing w:before="0" w:after="70" w:line="293" w:lineRule="auto"/>
      </w:pPr>
      <w:r>
        <w:rPr>
          <w:rFonts w:ascii="微软雅黑" w:hAnsi="微软雅黑" w:eastAsia="微软雅黑" w:cs="微软雅黑"/>
          <w:b w:val="0"/>
          <w:i w:val="0"/>
          <w:color w:val="1F2937"/>
          <w:sz w:val="18"/>
        </w:rPr>
        <w:t>各位组员在审阅本规划书时，请重点对照并确认以下关键内容：</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1. 个人姓名学号核对：</w:t>
      </w:r>
      <w:r>
        <w:rPr>
          <w:rFonts w:ascii="微软雅黑" w:hAnsi="微软雅黑" w:eastAsia="微软雅黑" w:cs="微软雅黑"/>
          <w:b w:val="0"/>
          <w:i w:val="0"/>
          <w:color w:val="1F2937"/>
          <w:sz w:val="18"/>
        </w:rPr>
        <w:t>请核对本规划书首页名单中的姓名与学号是否准确无误。</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2. 项目方案共识：</w:t>
      </w:r>
      <w:r>
        <w:rPr>
          <w:rFonts w:ascii="微软雅黑" w:hAnsi="微软雅黑" w:eastAsia="微软雅黑" w:cs="微软雅黑"/>
          <w:b w:val="0"/>
          <w:i w:val="0"/>
          <w:color w:val="1F2937"/>
          <w:sz w:val="18"/>
        </w:rPr>
        <w:t>充分了解我们系统的核心特色（Neo4j 错题图谱 + Qwen 考点反推 + 苏格拉底导学助教 + 五维能力雷达图）。</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3. 课程规范知晓：</w:t>
      </w:r>
      <w:r>
        <w:rPr>
          <w:rFonts w:ascii="微软雅黑" w:hAnsi="微软雅黑" w:eastAsia="微软雅黑" w:cs="微软雅黑"/>
          <w:b w:val="0"/>
          <w:i w:val="0"/>
          <w:color w:val="1F2937"/>
          <w:sz w:val="18"/>
        </w:rPr>
        <w:t>明确 JC2001 课程的五大交付板块（开题报告、阶段汇报、40–60 页技术报告、PoC 软件包+8–12 页用户手册、15 分钟答辩视频）及评分红线。</w:t>
      </w:r>
    </w:p>
    <w:p>
      <w:pPr>
        <w:spacing w:before="20" w:after="30" w:line="288" w:lineRule="auto"/>
        <w:ind w:left="288"/>
      </w:pPr>
      <w:r>
        <w:rPr>
          <w:rFonts w:ascii="微软雅黑" w:hAnsi="微软雅黑" w:eastAsia="微软雅黑" w:cs="微软雅黑"/>
          <w:b/>
          <w:i w:val="0"/>
          <w:color w:val="1B365D"/>
          <w:sz w:val="18"/>
        </w:rPr>
        <w:t xml:space="preserve">• </w:t>
      </w:r>
      <w:r>
        <w:rPr>
          <w:rFonts w:ascii="微软雅黑" w:hAnsi="微软雅黑" w:eastAsia="微软雅黑" w:cs="微软雅黑"/>
          <w:b/>
          <w:i w:val="0"/>
          <w:color w:val="1B365D"/>
          <w:sz w:val="18"/>
        </w:rPr>
        <w:t>4. 协作推进机制：</w:t>
      </w:r>
      <w:r>
        <w:rPr>
          <w:rFonts w:ascii="微软雅黑" w:hAnsi="微软雅黑" w:eastAsia="微软雅黑" w:cs="微软雅黑"/>
          <w:b w:val="0"/>
          <w:i w:val="0"/>
          <w:color w:val="1F2937"/>
          <w:sz w:val="18"/>
        </w:rPr>
        <w:t>全组审阅确认后，队长将在 9 月 25 日前正式上传英文版 Proposal 至 MyAberdeen；后续各研发模块由全组在组会中共同商讨自主认领推进！</w:t>
      </w:r>
    </w:p>
    <w:p>
      <w:pPr>
        <w:spacing w:before="0" w:after="70" w:line="293" w:lineRule="auto"/>
      </w:pPr>
      <w:r>
        <w:rPr>
          <w:rFonts w:ascii="微软雅黑" w:hAnsi="微软雅黑" w:eastAsia="微软雅黑" w:cs="微软雅黑"/>
          <w:b w:val="0"/>
          <w:i w:val="0"/>
          <w:color w:val="1F2937"/>
          <w:sz w:val="18"/>
        </w:rPr>
        <w:br/>
        <w:t>----------------------------------------------------------------------</w:t>
        <w:br/>
        <w:t>JC2001 Group 5 项目团队（华南师范大学阿伯丁学院，2026年9月）全员持存。</w:t>
      </w:r>
    </w:p>
    <w:sectPr w:rsidR="00FC693F" w:rsidRPr="0006063C" w:rsidSect="00034616">
      <w:headerReference w:type="default" r:id="rId9"/>
      <w:footerReference w:type="default" r:id="rId10"/>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i w:val="0"/>
        <w:color w:val="4B5563"/>
        <w:sz w:val="17"/>
      </w:rPr>
      <w:t xml:space="preserve">第 </w:t>
    </w:r>
    <w:fldSimple w:instr="PAGE"/>
    <w:r>
      <w:rPr>
        <w:rFonts w:ascii="微软雅黑" w:hAnsi="微软雅黑" w:eastAsia="微软雅黑" w:cs="微软雅黑"/>
        <w:b w:val="0"/>
        <w:i w:val="0"/>
        <w:color w:val="4B5563"/>
        <w:sz w:val="17"/>
      </w:rPr>
      <w:t xml:space="preserve"> 页  |  智能大学生备考与知识诊断辅导系统 (Smart Study Assistant)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s="微软雅黑"/>
        <w:b w:val="0"/>
        <w:i/>
        <w:color w:val="4B5563"/>
        <w:sz w:val="17"/>
      </w:rPr>
      <w:t>JC2001 软件工程 — Group 5 (BSc BMIS) | 项目规划书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