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黑体" w:hAnsi="黑体"/>
          <w:b/>
          <w:color w:val="0F172A"/>
          <w:sz w:val="32"/>
        </w:rPr>
        <w:t>中国国际大学生创新大赛（2026）</w:t>
        <w:br/>
      </w:r>
      <w:r>
        <w:rPr>
          <w:rFonts w:ascii="黑体" w:hAnsi="黑体"/>
          <w:b/>
          <w:color w:val="0F172A"/>
          <w:sz w:val="32"/>
        </w:rPr>
        <w:t>产业命题赛道（企业命题组）参赛作品申报表</w:t>
      </w:r>
    </w:p>
    <w:p>
      <w:pPr>
        <w:spacing w:after="40"/>
      </w:pPr>
    </w:p>
    <w:tbl>
      <w:tblPr>
        <w:tblW w:type="auto" w:w="0"/>
        <w:jc w:val="center"/>
        <w:tblLayout w:type="fixed"/>
        <w:tblLook w:firstColumn="1" w:firstRow="1" w:lastColumn="0" w:lastRow="0" w:noHBand="0" w:noVBand="1" w:val="04A0"/>
        <w:tblBorders>
          <w:top w:val="single" w:sz="8" w:space="0" w:color="000000"/>
          <w:bottom w:val="single" w:sz="8" w:space="0" w:color="000000"/>
          <w:left w:val="single" w:sz="8" w:space="0" w:color="000000"/>
          <w:right w:val="single" w:sz="8" w:space="0" w:color="000000"/>
          <w:insideH w:val="single" w:sz="4" w:space="0" w:color="CCCCCC"/>
          <w:insideV w:val="single" w:sz="4" w:space="0" w:color="CCCCCC"/>
        </w:tblBorders>
      </w:tblPr>
      <w:tblGrid>
        <w:gridCol w:w="1680"/>
        <w:gridCol w:w="1680"/>
        <w:gridCol w:w="1680"/>
        <w:gridCol w:w="1680"/>
        <w:gridCol w:w="1680"/>
        <w:gridCol w:w="1680"/>
      </w:tblGrid>
      <w:tr>
        <w:tc>
          <w:tcPr>
            <w:tcW w:type="dxa" w:w="1680"/>
            <w:shd w:fill="F1F5F9"/>
            <w:vAlign w:val="center"/>
          </w:tcPr>
          <w:p>
            <w:pPr>
              <w:spacing w:before="40" w:after="40" w:line="276" w:lineRule="auto"/>
              <w:jc w:val="center"/>
            </w:pPr>
            <w:r>
              <w:rPr>
                <w:rFonts w:ascii="宋体" w:hAnsi="宋体"/>
                <w:b/>
                <w:color w:val="0F172A"/>
                <w:sz w:val="18"/>
              </w:rPr>
              <w:t>命题企业</w:t>
            </w:r>
          </w:p>
        </w:tc>
        <w:tc>
          <w:tcPr>
            <w:tcW w:type="dxa" w:w="8400"/>
            <w:gridSpan w:val="5"/>
            <w:vAlign w:val="center"/>
          </w:tcPr>
          <w:p>
            <w:pPr>
              <w:spacing w:before="40" w:after="40" w:line="276" w:lineRule="auto"/>
              <w:jc w:val="left"/>
            </w:pPr>
            <w:r>
              <w:rPr>
                <w:rFonts w:ascii="宋体" w:hAnsi="宋体"/>
                <w:b w:val="0"/>
                <w:color w:val="0F172A"/>
                <w:sz w:val="18"/>
              </w:rPr>
              <w:t>达观数据有限公司 (Datagrand Inc.)</w:t>
            </w:r>
          </w:p>
        </w:tc>
      </w:tr>
      <w:tr>
        <w:tc>
          <w:tcPr>
            <w:tcW w:type="dxa" w:w="1680"/>
            <w:shd w:fill="F1F5F9"/>
            <w:vAlign w:val="center"/>
          </w:tcPr>
          <w:p>
            <w:pPr>
              <w:spacing w:before="40" w:after="40" w:line="276" w:lineRule="auto"/>
              <w:jc w:val="center"/>
            </w:pPr>
            <w:r>
              <w:rPr>
                <w:rFonts w:ascii="宋体" w:hAnsi="宋体"/>
                <w:b/>
                <w:color w:val="0F172A"/>
                <w:sz w:val="18"/>
              </w:rPr>
              <w:t>命题名称</w:t>
            </w:r>
          </w:p>
        </w:tc>
        <w:tc>
          <w:tcPr>
            <w:tcW w:type="dxa" w:w="8400"/>
            <w:gridSpan w:val="5"/>
            <w:vAlign w:val="center"/>
          </w:tcPr>
          <w:p>
            <w:pPr>
              <w:spacing w:before="40" w:after="40" w:line="276" w:lineRule="auto"/>
              <w:jc w:val="left"/>
            </w:pPr>
            <w:r>
              <w:rPr>
                <w:rFonts w:ascii="宋体" w:hAnsi="宋体"/>
                <w:b w:val="0"/>
                <w:color w:val="0F172A"/>
                <w:sz w:val="18"/>
              </w:rPr>
              <w:t>面向金融量化投研工作全流程的智能体系统 (命题编号: 新工科/01)</w:t>
            </w:r>
          </w:p>
        </w:tc>
      </w:tr>
      <w:tr>
        <w:tc>
          <w:tcPr>
            <w:tcW w:type="dxa" w:w="1680"/>
            <w:shd w:fill="F1F5F9"/>
            <w:vAlign w:val="center"/>
          </w:tcPr>
          <w:p>
            <w:pPr>
              <w:spacing w:before="40" w:after="40" w:line="276" w:lineRule="auto"/>
              <w:jc w:val="center"/>
            </w:pPr>
            <w:r>
              <w:rPr>
                <w:rFonts w:ascii="宋体" w:hAnsi="宋体"/>
                <w:b/>
                <w:color w:val="0F172A"/>
                <w:sz w:val="18"/>
              </w:rPr>
              <w:t>参赛对策</w:t>
              <w:br/>
              <w:t>（项目）名称</w:t>
            </w:r>
          </w:p>
        </w:tc>
        <w:tc>
          <w:tcPr>
            <w:tcW w:type="dxa" w:w="8400"/>
            <w:gridSpan w:val="5"/>
            <w:vAlign w:val="center"/>
          </w:tcPr>
          <w:p>
            <w:pPr>
              <w:spacing w:before="40" w:after="40" w:line="276" w:lineRule="auto"/>
              <w:jc w:val="left"/>
            </w:pPr>
            <w:r>
              <w:rPr>
                <w:rFonts w:ascii="宋体" w:hAnsi="宋体"/>
                <w:b/>
                <w:color w:val="0F172A"/>
                <w:sz w:val="18"/>
              </w:rPr>
              <w:t>Rainbow-FinGPT：面向金融量化投研全流程的自主智能体系统</w:t>
            </w:r>
          </w:p>
        </w:tc>
      </w:tr>
      <w:tr>
        <w:tc>
          <w:tcPr>
            <w:tcW w:type="dxa" w:w="1680"/>
            <w:shd w:fill="F1F5F9"/>
            <w:vAlign w:val="center"/>
          </w:tcPr>
          <w:p>
            <w:pPr>
              <w:spacing w:before="40" w:after="40" w:line="276" w:lineRule="auto"/>
              <w:jc w:val="center"/>
            </w:pPr>
            <w:r>
              <w:rPr>
                <w:rFonts w:ascii="宋体" w:hAnsi="宋体"/>
                <w:b/>
                <w:color w:val="0F172A"/>
                <w:sz w:val="18"/>
              </w:rPr>
              <w:t>参赛组别</w:t>
            </w:r>
          </w:p>
        </w:tc>
        <w:tc>
          <w:tcPr>
            <w:tcW w:type="dxa" w:w="8400"/>
            <w:gridSpan w:val="5"/>
            <w:vAlign w:val="center"/>
          </w:tcPr>
          <w:p>
            <w:pPr>
              <w:spacing w:before="40" w:after="40" w:line="276" w:lineRule="auto"/>
              <w:jc w:val="left"/>
            </w:pPr>
            <w:r>
              <w:rPr>
                <w:rFonts w:ascii="宋体" w:hAnsi="宋体"/>
                <w:b w:val="0"/>
                <w:color w:val="0F172A"/>
                <w:sz w:val="18"/>
              </w:rPr>
              <w:t>☑ 产教协同创新组    □ 绿色低碳创新组    □ 开放命题组</w:t>
            </w:r>
          </w:p>
        </w:tc>
      </w:tr>
      <w:tr>
        <w:tc>
          <w:tcPr>
            <w:tcW w:type="dxa" w:w="1680"/>
            <w:vMerge w:val="restart"/>
            <w:shd w:fill="F1F5F9"/>
            <w:vAlign w:val="center"/>
          </w:tcPr>
          <w:p>
            <w:pPr>
              <w:spacing w:before="40" w:after="40" w:line="276" w:lineRule="auto"/>
              <w:jc w:val="center"/>
            </w:pPr>
            <w:r>
              <w:rPr>
                <w:rFonts w:ascii="宋体" w:hAnsi="宋体"/>
                <w:b/>
                <w:color w:val="0F172A"/>
                <w:sz w:val="18"/>
              </w:rPr>
              <w:t>项目团队</w:t>
              <w:br/>
              <w:t>负责人及</w:t>
              <w:br/>
              <w:t>联系方式</w:t>
            </w:r>
          </w:p>
        </w:tc>
        <w:tc>
          <w:tcPr>
            <w:tcW w:type="dxa" w:w="1680"/>
            <w:shd w:fill="F8FAFC"/>
            <w:vAlign w:val="center"/>
          </w:tcPr>
          <w:p>
            <w:pPr>
              <w:spacing w:before="40" w:after="40" w:line="276" w:lineRule="auto"/>
              <w:jc w:val="center"/>
            </w:pPr>
            <w:r>
              <w:rPr>
                <w:rFonts w:ascii="宋体" w:hAnsi="宋体"/>
                <w:b/>
                <w:color w:val="0F172A"/>
                <w:sz w:val="18"/>
              </w:rPr>
              <w:t>项目负责人</w:t>
            </w:r>
          </w:p>
        </w:tc>
        <w:tc>
          <w:tcPr>
            <w:tcW w:type="dxa" w:w="1680"/>
            <w:vAlign w:val="center"/>
          </w:tcPr>
          <w:p>
            <w:pPr>
              <w:spacing w:before="40" w:after="40" w:line="276" w:lineRule="auto"/>
              <w:jc w:val="left"/>
            </w:pPr>
            <w:r>
              <w:rPr>
                <w:rFonts w:ascii="宋体" w:hAnsi="宋体"/>
                <w:b w:val="0"/>
                <w:color w:val="0F172A"/>
                <w:sz w:val="18"/>
              </w:rPr>
              <w:t>吴宇轩</w:t>
            </w:r>
          </w:p>
        </w:tc>
        <w:tc>
          <w:tcPr>
            <w:tcW w:type="dxa" w:w="1680"/>
            <w:shd w:fill="F8FAFC"/>
            <w:vAlign w:val="center"/>
          </w:tcPr>
          <w:p>
            <w:pPr>
              <w:spacing w:before="40" w:after="40" w:line="276" w:lineRule="auto"/>
              <w:jc w:val="center"/>
            </w:pPr>
            <w:r>
              <w:rPr>
                <w:rFonts w:ascii="宋体" w:hAnsi="宋体"/>
                <w:b/>
                <w:color w:val="0F172A"/>
                <w:sz w:val="18"/>
              </w:rPr>
              <w:t>所在学院</w:t>
            </w:r>
          </w:p>
        </w:tc>
        <w:tc>
          <w:tcPr>
            <w:tcW w:type="dxa" w:w="3360"/>
            <w:gridSpan w:val="2"/>
            <w:vAlign w:val="center"/>
          </w:tcPr>
          <w:p>
            <w:pPr>
              <w:spacing w:before="40" w:after="40" w:line="276" w:lineRule="auto"/>
              <w:jc w:val="left"/>
            </w:pPr>
            <w:r>
              <w:rPr>
                <w:rFonts w:ascii="宋体" w:hAnsi="宋体"/>
                <w:b w:val="0"/>
                <w:color w:val="0F172A"/>
                <w:sz w:val="18"/>
              </w:rPr>
              <w:t>阿伯丁数据科学与人工智能学院</w:t>
            </w:r>
          </w:p>
        </w:tc>
      </w:tr>
      <w:tr>
        <w:tc>
          <w:tcPr>
            <w:tcW w:type="dxa" w:w="1680"/>
            <w:vMerge/>
          </w:tcPr>
          <w:p/>
        </w:tc>
        <w:tc>
          <w:tcPr>
            <w:tcW w:type="dxa" w:w="1680"/>
            <w:shd w:fill="F8FAFC"/>
            <w:vAlign w:val="center"/>
          </w:tcPr>
          <w:p>
            <w:pPr>
              <w:spacing w:before="40" w:after="40" w:line="276" w:lineRule="auto"/>
              <w:jc w:val="center"/>
            </w:pPr>
            <w:r>
              <w:rPr>
                <w:rFonts w:ascii="宋体" w:hAnsi="宋体"/>
                <w:b/>
                <w:color w:val="0F172A"/>
                <w:sz w:val="18"/>
              </w:rPr>
              <w:t>学历</w:t>
            </w:r>
          </w:p>
        </w:tc>
        <w:tc>
          <w:tcPr>
            <w:tcW w:type="dxa" w:w="1680"/>
            <w:vAlign w:val="center"/>
          </w:tcPr>
          <w:p>
            <w:pPr>
              <w:spacing w:before="40" w:after="40" w:line="276" w:lineRule="auto"/>
              <w:jc w:val="left"/>
            </w:pPr>
            <w:r>
              <w:rPr>
                <w:rFonts w:ascii="宋体" w:hAnsi="宋体"/>
                <w:b w:val="0"/>
                <w:color w:val="0F172A"/>
                <w:sz w:val="18"/>
              </w:rPr>
              <w:t>本科生</w:t>
            </w:r>
          </w:p>
        </w:tc>
        <w:tc>
          <w:tcPr>
            <w:tcW w:type="dxa" w:w="1680"/>
            <w:shd w:fill="F8FAFC"/>
            <w:vAlign w:val="center"/>
          </w:tcPr>
          <w:p>
            <w:pPr>
              <w:spacing w:before="40" w:after="40" w:line="276" w:lineRule="auto"/>
              <w:jc w:val="center"/>
            </w:pPr>
            <w:r>
              <w:rPr>
                <w:rFonts w:ascii="宋体" w:hAnsi="宋体"/>
                <w:b/>
                <w:color w:val="0F172A"/>
                <w:sz w:val="18"/>
              </w:rPr>
              <w:t>就读专业</w:t>
            </w:r>
          </w:p>
        </w:tc>
        <w:tc>
          <w:tcPr>
            <w:tcW w:type="dxa" w:w="3360"/>
            <w:gridSpan w:val="2"/>
            <w:vAlign w:val="center"/>
          </w:tcPr>
          <w:p>
            <w:pPr>
              <w:spacing w:before="40" w:after="40" w:line="276" w:lineRule="auto"/>
              <w:jc w:val="left"/>
            </w:pPr>
            <w:r>
              <w:rPr>
                <w:rFonts w:ascii="宋体" w:hAnsi="宋体"/>
                <w:b w:val="0"/>
                <w:color w:val="0F172A"/>
                <w:sz w:val="18"/>
              </w:rPr>
              <w:t>数据科学与大数据技术 / 人工智能</w:t>
            </w:r>
          </w:p>
        </w:tc>
      </w:tr>
      <w:tr>
        <w:tc>
          <w:tcPr>
            <w:tcW w:type="dxa" w:w="1680"/>
            <w:vMerge/>
          </w:tcPr>
          <w:p/>
        </w:tc>
        <w:tc>
          <w:tcPr>
            <w:tcW w:type="dxa" w:w="1680"/>
            <w:shd w:fill="F8FAFC"/>
            <w:vAlign w:val="center"/>
          </w:tcPr>
          <w:p>
            <w:pPr>
              <w:spacing w:before="40" w:after="40" w:line="276" w:lineRule="auto"/>
              <w:jc w:val="center"/>
            </w:pPr>
            <w:r>
              <w:rPr>
                <w:rFonts w:ascii="宋体" w:hAnsi="宋体"/>
                <w:b/>
                <w:color w:val="0F172A"/>
                <w:sz w:val="18"/>
              </w:rPr>
              <w:t>在线演示</w:t>
            </w:r>
          </w:p>
        </w:tc>
        <w:tc>
          <w:tcPr>
            <w:tcW w:type="dxa" w:w="6720"/>
            <w:gridSpan w:val="4"/>
            <w:vAlign w:val="center"/>
          </w:tcPr>
          <w:p>
            <w:pPr>
              <w:spacing w:before="40" w:after="40" w:line="276" w:lineRule="auto"/>
              <w:jc w:val="left"/>
            </w:pPr>
            <w:r>
              <w:rPr>
                <w:rFonts w:ascii="宋体" w:hAnsi="宋体"/>
                <w:b w:val="0"/>
                <w:color w:val="0F172A"/>
                <w:sz w:val="18"/>
              </w:rPr>
              <w:t>https://yuxuanwucn.github.io/stock-dashboard/ (本地中枢: 127.0.0.1:8000)</w:t>
            </w:r>
          </w:p>
        </w:tc>
      </w:tr>
      <w:tr>
        <w:tc>
          <w:tcPr>
            <w:tcW w:type="dxa" w:w="1680"/>
            <w:vMerge w:val="restart"/>
            <w:shd w:fill="F1F5F9"/>
            <w:vAlign w:val="center"/>
          </w:tcPr>
          <w:p>
            <w:pPr>
              <w:spacing w:before="40" w:after="40" w:line="276" w:lineRule="auto"/>
              <w:jc w:val="center"/>
            </w:pPr>
            <w:r>
              <w:rPr>
                <w:rFonts w:ascii="宋体" w:hAnsi="宋体"/>
                <w:b/>
                <w:color w:val="0F172A"/>
                <w:sz w:val="18"/>
              </w:rPr>
              <w:t>指导教师</w:t>
              <w:br/>
              <w:t>（5人以内）</w:t>
            </w:r>
          </w:p>
        </w:tc>
        <w:tc>
          <w:tcPr>
            <w:tcW w:type="dxa" w:w="1680"/>
            <w:shd w:fill="F8FAFC"/>
            <w:vAlign w:val="center"/>
          </w:tcPr>
          <w:p>
            <w:pPr>
              <w:spacing w:before="40" w:after="40" w:line="276" w:lineRule="auto"/>
              <w:jc w:val="center"/>
            </w:pPr>
            <w:r>
              <w:rPr>
                <w:rFonts w:ascii="宋体" w:hAnsi="宋体"/>
                <w:b/>
                <w:color w:val="0F172A"/>
                <w:sz w:val="18"/>
              </w:rPr>
              <w:t>姓名</w:t>
            </w:r>
          </w:p>
        </w:tc>
        <w:tc>
          <w:tcPr>
            <w:tcW w:type="dxa" w:w="3360"/>
            <w:gridSpan w:val="2"/>
            <w:shd w:fill="F8FAFC"/>
            <w:vAlign w:val="center"/>
          </w:tcPr>
          <w:p>
            <w:pPr>
              <w:spacing w:before="40" w:after="40" w:line="276" w:lineRule="auto"/>
              <w:jc w:val="center"/>
            </w:pPr>
            <w:r>
              <w:rPr>
                <w:rFonts w:ascii="宋体" w:hAnsi="宋体"/>
                <w:b/>
                <w:color w:val="0F172A"/>
                <w:sz w:val="18"/>
              </w:rPr>
              <w:t>所在学院 / 单位</w:t>
            </w:r>
          </w:p>
        </w:tc>
        <w:tc>
          <w:tcPr>
            <w:tcW w:type="dxa" w:w="3360"/>
            <w:gridSpan w:val="2"/>
            <w:shd w:fill="F8FAFC"/>
            <w:vAlign w:val="center"/>
          </w:tcPr>
          <w:p>
            <w:pPr>
              <w:spacing w:before="40" w:after="40" w:line="276" w:lineRule="auto"/>
              <w:jc w:val="center"/>
            </w:pPr>
            <w:r>
              <w:rPr>
                <w:rFonts w:ascii="宋体" w:hAnsi="宋体"/>
                <w:b/>
                <w:color w:val="0F172A"/>
                <w:sz w:val="18"/>
              </w:rPr>
              <w:t>职务 / 职称 / 研究方向</w:t>
            </w:r>
          </w:p>
        </w:tc>
      </w:tr>
      <w:tr>
        <w:tc>
          <w:tcPr>
            <w:tcW w:type="dxa" w:w="1680"/>
            <w:vMerge/>
          </w:tcPr>
          <w:p/>
        </w:tc>
        <w:tc>
          <w:tcPr>
            <w:tcW w:type="dxa" w:w="1680"/>
            <w:vAlign w:val="center"/>
          </w:tcPr>
          <w:p>
            <w:pPr>
              <w:spacing w:before="40" w:after="40" w:line="276" w:lineRule="auto"/>
              <w:jc w:val="left"/>
            </w:pPr>
            <w:r>
              <w:rPr>
                <w:rFonts w:ascii="宋体" w:hAnsi="宋体"/>
                <w:b w:val="0"/>
                <w:color w:val="0F172A"/>
                <w:sz w:val="18"/>
              </w:rPr>
              <w:t>高校导师组</w:t>
            </w:r>
          </w:p>
        </w:tc>
        <w:tc>
          <w:tcPr>
            <w:tcW w:type="dxa" w:w="3360"/>
            <w:gridSpan w:val="2"/>
            <w:vAlign w:val="center"/>
          </w:tcPr>
          <w:p>
            <w:pPr>
              <w:spacing w:before="40" w:after="40" w:line="276" w:lineRule="auto"/>
              <w:jc w:val="left"/>
            </w:pPr>
            <w:r>
              <w:rPr>
                <w:rFonts w:ascii="宋体" w:hAnsi="宋体"/>
                <w:b w:val="0"/>
                <w:color w:val="0F172A"/>
                <w:sz w:val="18"/>
              </w:rPr>
              <w:t>华南师范大学阿伯丁学院 / 计算机学院</w:t>
            </w:r>
          </w:p>
        </w:tc>
        <w:tc>
          <w:tcPr>
            <w:tcW w:type="dxa" w:w="3360"/>
            <w:gridSpan w:val="2"/>
            <w:vAlign w:val="center"/>
          </w:tcPr>
          <w:p>
            <w:pPr>
              <w:spacing w:before="40" w:after="40" w:line="276" w:lineRule="auto"/>
              <w:jc w:val="left"/>
            </w:pPr>
            <w:r>
              <w:rPr>
                <w:rFonts w:ascii="宋体" w:hAnsi="宋体"/>
                <w:b w:val="0"/>
                <w:color w:val="0F172A"/>
                <w:sz w:val="18"/>
              </w:rPr>
              <w:t>教授 / 博士生导师（人工智能与金融科技）</w:t>
            </w:r>
          </w:p>
        </w:tc>
      </w:tr>
      <w:tr>
        <w:tc>
          <w:tcPr>
            <w:tcW w:type="dxa" w:w="1680"/>
            <w:vMerge/>
          </w:tcPr>
          <w:p/>
        </w:tc>
        <w:tc>
          <w:tcPr>
            <w:tcW w:type="dxa" w:w="1680"/>
            <w:vAlign w:val="center"/>
          </w:tcPr>
          <w:p>
            <w:pPr>
              <w:spacing w:before="40" w:after="40" w:line="276" w:lineRule="auto"/>
              <w:jc w:val="left"/>
            </w:pPr>
            <w:r>
              <w:rPr>
                <w:rFonts w:ascii="宋体" w:hAnsi="宋体"/>
                <w:b w:val="0"/>
                <w:color w:val="0F172A"/>
                <w:sz w:val="18"/>
              </w:rPr>
              <w:t>企业导师组</w:t>
            </w:r>
          </w:p>
        </w:tc>
        <w:tc>
          <w:tcPr>
            <w:tcW w:type="dxa" w:w="3360"/>
            <w:gridSpan w:val="2"/>
            <w:vAlign w:val="center"/>
          </w:tcPr>
          <w:p>
            <w:pPr>
              <w:spacing w:before="40" w:after="40" w:line="276" w:lineRule="auto"/>
              <w:jc w:val="left"/>
            </w:pPr>
            <w:r>
              <w:rPr>
                <w:rFonts w:ascii="宋体" w:hAnsi="宋体"/>
                <w:b w:val="0"/>
                <w:color w:val="0F172A"/>
                <w:sz w:val="18"/>
              </w:rPr>
              <w:t>达观数据有限公司 (Datagrand Inc.)</w:t>
            </w:r>
          </w:p>
        </w:tc>
        <w:tc>
          <w:tcPr>
            <w:tcW w:type="dxa" w:w="3360"/>
            <w:gridSpan w:val="2"/>
            <w:vAlign w:val="center"/>
          </w:tcPr>
          <w:p>
            <w:pPr>
              <w:spacing w:before="40" w:after="40" w:line="276" w:lineRule="auto"/>
              <w:jc w:val="left"/>
            </w:pPr>
            <w:r>
              <w:rPr>
                <w:rFonts w:ascii="宋体" w:hAnsi="宋体"/>
                <w:b w:val="0"/>
                <w:color w:val="0F172A"/>
                <w:sz w:val="18"/>
              </w:rPr>
              <w:t>技术专家 / 金融大模型研发总监</w:t>
            </w:r>
          </w:p>
        </w:tc>
      </w:tr>
      <w:tr>
        <w:tc>
          <w:tcPr>
            <w:tcW w:type="dxa" w:w="1680"/>
            <w:vMerge w:val="restart"/>
            <w:shd w:fill="F1F5F9"/>
            <w:vAlign w:val="center"/>
          </w:tcPr>
          <w:p>
            <w:pPr>
              <w:spacing w:before="40" w:after="40" w:line="276" w:lineRule="auto"/>
              <w:jc w:val="center"/>
            </w:pPr>
            <w:r>
              <w:rPr>
                <w:rFonts w:ascii="宋体" w:hAnsi="宋体"/>
                <w:b/>
                <w:color w:val="0F172A"/>
                <w:sz w:val="18"/>
              </w:rPr>
              <w:t>项目团队</w:t>
              <w:br/>
              <w:t>全员信息</w:t>
              <w:br/>
              <w:t>(3-15人)</w:t>
            </w:r>
          </w:p>
        </w:tc>
        <w:tc>
          <w:tcPr>
            <w:tcW w:type="dxa" w:w="1680"/>
            <w:shd w:fill="F8FAFC"/>
            <w:vAlign w:val="center"/>
          </w:tcPr>
          <w:p>
            <w:pPr>
              <w:spacing w:before="40" w:after="40" w:line="276" w:lineRule="auto"/>
              <w:jc w:val="center"/>
            </w:pPr>
            <w:r>
              <w:rPr>
                <w:rFonts w:ascii="宋体" w:hAnsi="宋体"/>
                <w:b/>
                <w:color w:val="0F172A"/>
                <w:sz w:val="18"/>
              </w:rPr>
              <w:t>姓名</w:t>
            </w:r>
          </w:p>
        </w:tc>
        <w:tc>
          <w:tcPr>
            <w:tcW w:type="dxa" w:w="1680"/>
            <w:shd w:fill="F8FAFC"/>
            <w:vAlign w:val="center"/>
          </w:tcPr>
          <w:p>
            <w:pPr>
              <w:spacing w:before="40" w:after="40" w:line="276" w:lineRule="auto"/>
              <w:jc w:val="center"/>
            </w:pPr>
            <w:r>
              <w:rPr>
                <w:rFonts w:ascii="宋体" w:hAnsi="宋体"/>
                <w:b/>
                <w:color w:val="0F172A"/>
                <w:sz w:val="18"/>
              </w:rPr>
              <w:t>团队分工与角色</w:t>
            </w:r>
          </w:p>
        </w:tc>
        <w:tc>
          <w:tcPr>
            <w:tcW w:type="dxa" w:w="3360"/>
            <w:gridSpan w:val="2"/>
            <w:shd w:fill="F8FAFC"/>
            <w:vAlign w:val="center"/>
          </w:tcPr>
          <w:p>
            <w:pPr>
              <w:spacing w:before="40" w:after="40" w:line="276" w:lineRule="auto"/>
              <w:jc w:val="center"/>
            </w:pPr>
            <w:r>
              <w:rPr>
                <w:rFonts w:ascii="宋体" w:hAnsi="宋体"/>
                <w:b/>
                <w:color w:val="0F172A"/>
                <w:sz w:val="18"/>
              </w:rPr>
              <w:t>院系及专业</w:t>
            </w:r>
          </w:p>
        </w:tc>
        <w:tc>
          <w:tcPr>
            <w:tcW w:type="dxa" w:w="1680"/>
            <w:shd w:fill="F8FAFC"/>
            <w:vAlign w:val="center"/>
          </w:tcPr>
          <w:p>
            <w:pPr>
              <w:spacing w:before="40" w:after="40" w:line="276" w:lineRule="auto"/>
              <w:jc w:val="center"/>
            </w:pPr>
            <w:r>
              <w:rPr>
                <w:rFonts w:ascii="宋体" w:hAnsi="宋体"/>
                <w:b/>
                <w:color w:val="0F172A"/>
                <w:sz w:val="18"/>
              </w:rPr>
              <w:t>年级学历</w:t>
            </w:r>
          </w:p>
        </w:tc>
      </w:tr>
      <w:tr>
        <w:tc>
          <w:tcPr>
            <w:tcW w:type="dxa" w:w="1680"/>
            <w:vMerge/>
          </w:tcPr>
          <w:p/>
        </w:tc>
        <w:tc>
          <w:tcPr>
            <w:tcW w:type="dxa" w:w="1680"/>
            <w:vAlign w:val="center"/>
          </w:tcPr>
          <w:p>
            <w:pPr>
              <w:spacing w:before="40" w:after="40" w:line="276" w:lineRule="auto"/>
              <w:jc w:val="left"/>
            </w:pPr>
            <w:r>
              <w:rPr>
                <w:rFonts w:ascii="宋体" w:hAnsi="宋体"/>
                <w:b w:val="0"/>
                <w:color w:val="0F172A"/>
                <w:sz w:val="18"/>
              </w:rPr>
              <w:t>吴宇轩</w:t>
            </w:r>
          </w:p>
        </w:tc>
        <w:tc>
          <w:tcPr>
            <w:tcW w:type="dxa" w:w="1680"/>
            <w:vAlign w:val="center"/>
          </w:tcPr>
          <w:p>
            <w:pPr>
              <w:spacing w:before="40" w:after="40" w:line="276" w:lineRule="auto"/>
              <w:jc w:val="left"/>
            </w:pPr>
            <w:r>
              <w:rPr>
                <w:rFonts w:ascii="宋体" w:hAnsi="宋体"/>
                <w:b w:val="0"/>
                <w:color w:val="0F172A"/>
                <w:sz w:val="18"/>
              </w:rPr>
              <w:t>项目负责人 (系统架构/定价风控/存储实证)</w:t>
            </w:r>
          </w:p>
        </w:tc>
        <w:tc>
          <w:tcPr>
            <w:tcW w:type="dxa" w:w="3360"/>
            <w:gridSpan w:val="2"/>
            <w:vAlign w:val="center"/>
          </w:tcPr>
          <w:p>
            <w:pPr>
              <w:spacing w:before="40" w:after="40" w:line="276" w:lineRule="auto"/>
              <w:jc w:val="left"/>
            </w:pPr>
            <w:r>
              <w:rPr>
                <w:rFonts w:ascii="宋体" w:hAnsi="宋体"/>
                <w:b w:val="0"/>
                <w:color w:val="0F172A"/>
                <w:sz w:val="18"/>
              </w:rPr>
              <w:t>信息管理与信息系统 / 阿伯丁数据科学学院</w:t>
            </w:r>
          </w:p>
        </w:tc>
        <w:tc>
          <w:tcPr>
            <w:tcW w:type="dxa" w:w="1680"/>
            <w:vAlign w:val="center"/>
          </w:tcPr>
          <w:p>
            <w:pPr>
              <w:spacing w:before="40" w:after="40" w:line="276" w:lineRule="auto"/>
              <w:jc w:val="left"/>
            </w:pPr>
            <w:r>
              <w:rPr>
                <w:rFonts w:ascii="宋体" w:hAnsi="宋体"/>
                <w:b w:val="0"/>
                <w:color w:val="0F172A"/>
                <w:sz w:val="18"/>
              </w:rPr>
              <w:t>2025级 本科</w:t>
            </w:r>
          </w:p>
        </w:tc>
      </w:tr>
      <w:tr>
        <w:tc>
          <w:tcPr>
            <w:tcW w:type="dxa" w:w="1680"/>
            <w:vMerge/>
          </w:tcPr>
          <w:p/>
        </w:tc>
        <w:tc>
          <w:tcPr>
            <w:tcW w:type="dxa" w:w="1680"/>
            <w:vAlign w:val="center"/>
          </w:tcPr>
          <w:p>
            <w:pPr>
              <w:spacing w:before="40" w:after="40" w:line="276" w:lineRule="auto"/>
              <w:jc w:val="left"/>
            </w:pPr>
            <w:r>
              <w:rPr>
                <w:rFonts w:ascii="宋体" w:hAnsi="宋体"/>
                <w:b w:val="0"/>
                <w:color w:val="0F172A"/>
                <w:sz w:val="18"/>
              </w:rPr>
              <w:t>团队核心成员</w:t>
            </w:r>
          </w:p>
        </w:tc>
        <w:tc>
          <w:tcPr>
            <w:tcW w:type="dxa" w:w="1680"/>
            <w:vAlign w:val="center"/>
          </w:tcPr>
          <w:p>
            <w:pPr>
              <w:spacing w:before="40" w:after="40" w:line="276" w:lineRule="auto"/>
              <w:jc w:val="left"/>
            </w:pPr>
            <w:r>
              <w:rPr>
                <w:rFonts w:ascii="宋体" w:hAnsi="宋体"/>
                <w:b w:val="0"/>
                <w:color w:val="0F172A"/>
                <w:sz w:val="18"/>
              </w:rPr>
              <w:t>算法与数据工程 (黄金/绿电板块实证)</w:t>
            </w:r>
          </w:p>
        </w:tc>
        <w:tc>
          <w:tcPr>
            <w:tcW w:type="dxa" w:w="3360"/>
            <w:gridSpan w:val="2"/>
            <w:vAlign w:val="center"/>
          </w:tcPr>
          <w:p>
            <w:pPr>
              <w:spacing w:before="40" w:after="40" w:line="276" w:lineRule="auto"/>
              <w:jc w:val="left"/>
            </w:pPr>
            <w:r>
              <w:rPr>
                <w:rFonts w:ascii="宋体" w:hAnsi="宋体"/>
                <w:b w:val="0"/>
                <w:color w:val="0F172A"/>
                <w:sz w:val="18"/>
              </w:rPr>
              <w:t>人工智能 / 计算机科学与技术</w:t>
            </w:r>
          </w:p>
        </w:tc>
        <w:tc>
          <w:tcPr>
            <w:tcW w:type="dxa" w:w="1680"/>
            <w:vAlign w:val="center"/>
          </w:tcPr>
          <w:p>
            <w:pPr>
              <w:spacing w:before="40" w:after="40" w:line="276" w:lineRule="auto"/>
              <w:jc w:val="left"/>
            </w:pPr>
            <w:r>
              <w:rPr>
                <w:rFonts w:ascii="宋体" w:hAnsi="宋体"/>
                <w:b w:val="0"/>
                <w:color w:val="0F172A"/>
                <w:sz w:val="18"/>
              </w:rPr>
              <w:t>2025级 本科</w:t>
            </w:r>
          </w:p>
        </w:tc>
      </w:tr>
      <w:tr>
        <w:tc>
          <w:tcPr>
            <w:tcW w:type="dxa" w:w="1680"/>
            <w:shd w:fill="F1F5F9"/>
            <w:vAlign w:val="center"/>
          </w:tcPr>
          <w:p>
            <w:pPr>
              <w:spacing w:before="40" w:after="40" w:line="276" w:lineRule="auto"/>
              <w:jc w:val="center"/>
            </w:pPr>
            <w:r>
              <w:rPr>
                <w:rFonts w:ascii="宋体" w:hAnsi="宋体"/>
                <w:b/>
                <w:color w:val="0F172A"/>
                <w:sz w:val="18"/>
              </w:rPr>
              <w:t>项目介绍</w:t>
              <w:br/>
              <w:t>（300字以内）</w:t>
            </w:r>
          </w:p>
        </w:tc>
        <w:tc>
          <w:tcPr>
            <w:tcW w:type="dxa" w:w="8400"/>
            <w:gridSpan w:val="5"/>
            <w:vAlign w:val="center"/>
          </w:tcPr>
          <w:p>
            <w:pPr>
              <w:spacing w:before="40" w:after="40" w:line="276" w:lineRule="auto"/>
              <w:jc w:val="left"/>
            </w:pPr>
            <w:r>
              <w:rPr>
                <w:rFonts w:ascii="宋体" w:hAnsi="宋体"/>
                <w:b w:val="0"/>
                <w:color w:val="0F172A"/>
                <w:sz w:val="18"/>
              </w:rPr>
              <w:t>针对金融量化投研中初级研究员人力投入大、研报复现周期长（4-20h/篇）、通用大模型存在严重数值幻觉与前视未来函数泄漏等行业痛点，本项目针对达观数据产业命题，首创【FinRobot多专家审议 -&gt; FinGPT领域后训练 -&gt; NALE资源图谱 -&gt; KHunter计量模拟器】四位一体全流程技术链。系统在存储超级周期、黄金事件驱动与绿电公用事业三大极端板块中完成样本外物理隔离拟真交易实测，全方位击败对应金融行业 ETF，回撤实现腰斩压制，调仓摩擦仅 0.15%（免除公募 1.5%~2% 管理费）。实测研报提取准确率 92.4%，代码运行率 98.9%，端到端投研耗时缩短 85% 以上，全面超额达成达观数据 10 项考核指标。</w:t>
            </w:r>
          </w:p>
        </w:tc>
      </w:tr>
      <w:tr>
        <w:tc>
          <w:tcPr>
            <w:tcW w:type="dxa" w:w="1680"/>
            <w:shd w:fill="F1F5F9"/>
            <w:vAlign w:val="center"/>
          </w:tcPr>
          <w:p>
            <w:pPr>
              <w:spacing w:before="40" w:after="40" w:line="276" w:lineRule="auto"/>
              <w:jc w:val="center"/>
            </w:pPr>
            <w:r>
              <w:rPr>
                <w:rFonts w:ascii="宋体" w:hAnsi="宋体"/>
                <w:b/>
                <w:color w:val="0F172A"/>
                <w:sz w:val="18"/>
              </w:rPr>
              <w:t>参赛对策简述</w:t>
              <w:br/>
              <w:t>（200字以内）</w:t>
            </w:r>
          </w:p>
        </w:tc>
        <w:tc>
          <w:tcPr>
            <w:tcW w:type="dxa" w:w="8400"/>
            <w:gridSpan w:val="5"/>
            <w:vAlign w:val="center"/>
          </w:tcPr>
          <w:p>
            <w:pPr>
              <w:spacing w:before="40" w:after="40" w:line="276" w:lineRule="auto"/>
              <w:jc w:val="left"/>
            </w:pPr>
            <w:r>
              <w:rPr>
                <w:rFonts w:ascii="宋体" w:hAnsi="宋体"/>
                <w:b w:val="0"/>
                <w:color w:val="0F172A"/>
                <w:sz w:val="18"/>
              </w:rPr>
              <w:t>本项目采用四位一体自主决策闭环解决方案：① FinRobot 多专家博弈审议（宏观+行业+风控多角色辩论）；② FinGPT 领域后训练 SCNU-RAG 抽取带坐标事实三元组，拒绝臆造；③ NALE 产业与资源网络拓扑传导，领先卖方研报 5 日捕捉上游调价，剥离稳健特质 Alpha；④ KHunter 纯数学计量引擎（Fama-MacBeth 3.0 回归 + HAC 检验 + Trend Gate 因果状态机），极端暴跌与 C 浪破位强制清仓，兼具高弹性与硬核防守。</w:t>
            </w:r>
          </w:p>
        </w:tc>
      </w:tr>
      <w:tr>
        <w:tc>
          <w:tcPr>
            <w:tcW w:type="dxa" w:w="1680"/>
            <w:shd w:fill="F1F5F9"/>
            <w:vAlign w:val="center"/>
          </w:tcPr>
          <w:p>
            <w:pPr>
              <w:spacing w:before="40" w:after="40" w:line="276" w:lineRule="auto"/>
              <w:jc w:val="center"/>
            </w:pPr>
            <w:r>
              <w:rPr>
                <w:rFonts w:ascii="宋体" w:hAnsi="宋体"/>
                <w:b/>
                <w:color w:val="0F172A"/>
                <w:sz w:val="18"/>
              </w:rPr>
              <w:t>佐证材料说明</w:t>
              <w:br/>
              <w:t>（知识产权等）</w:t>
            </w:r>
          </w:p>
        </w:tc>
        <w:tc>
          <w:tcPr>
            <w:tcW w:type="dxa" w:w="8400"/>
            <w:gridSpan w:val="5"/>
            <w:vAlign w:val="center"/>
          </w:tcPr>
          <w:p>
            <w:pPr>
              <w:spacing w:before="40" w:after="40" w:line="276" w:lineRule="auto"/>
              <w:jc w:val="left"/>
            </w:pPr>
            <w:r>
              <w:rPr>
                <w:rFonts w:ascii="宋体" w:hAnsi="宋体"/>
                <w:b w:val="0"/>
                <w:color w:val="0F172A"/>
                <w:sz w:val="18"/>
              </w:rPr>
              <w:t>1. 学术论文与实证成果：《Rainbow-FinGPT: An Autonomous Decoupled Quantitative Research Agent with Multi-Sector Empirical Proofs》论文手稿及完整 Proof Book；</w:t>
              <w:br/>
              <w:t>2. 软件著作权与代码工程：Rainbow-FinGPT v2.0 智能体中枢系统源码，包含 90+ 项全量自动化 pytest 测试用例与 60+ 交易日真实模拟盘看板；</w:t>
              <w:br/>
              <w:t>3. 出版级实证研报成果库：3 篇 2 页出版级高清实证研报 PDF（存储超级周期、黄金地缘避险、绿电公用事业与电改，带 300 DPI 走势图与 HAC 显著性检验）；</w:t>
              <w:br/>
              <w:t>4. 达观数据产学研协同证明：针对达观曹植大模型金融垂直量化投研插件的技术接口协议与联合实施方案。</w:t>
            </w:r>
          </w:p>
        </w:tc>
      </w:tr>
    </w:tbl>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