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Rainbow-FinGPT v2: </w:t>
      </w:r>
      <w:r>
        <w:rPr>
          <w:rFonts w:hint="eastAsia"/>
          <w:b/>
          <w:bCs/>
        </w:rPr>
        <w:t xml:space="preserve">融合大语言模型语义挖掘与多因子定价机制的自适应量化投研系统架构与实证研究</w:t>
      </w:r>
    </w:p>
    <w:p>
      <w:pPr>
        <w:pStyle w:val="Author"/>
      </w:pPr>
      <w:r>
        <w:rPr>
          <w:rFonts w:hint="eastAsia"/>
          <w:b/>
          <w:bCs/>
        </w:rPr>
        <w:t xml:space="preserve">吴宇轩</w:t>
      </w:r>
      <w:r>
        <w:br/>
      </w:r>
      <w:r>
        <w:rPr>
          <w:rFonts w:hint="eastAsia"/>
        </w:rPr>
        <w:t xml:space="preserve">量化金融与智能计算研究小组</w:t>
      </w:r>
    </w:p>
    <w:p>
      <w:pPr>
        <w:pStyle w:val="Date"/>
      </w:pPr>
      <w:r>
        <w:t xml:space="preserve">2026-08-21</w:t>
      </w:r>
    </w:p>
    <w:p>
      <w:pPr>
        <w:pStyle w:val="AbstractTitle"/>
      </w:pPr>
      <w:r>
        <w:t xml:space="preserve">Abstract</w:t>
      </w:r>
    </w:p>
    <w:p>
      <w:pPr>
        <w:pStyle w:val="Abstract"/>
      </w:pPr>
      <w:r>
        <w:rPr>
          <w:rFonts w:hint="eastAsia"/>
        </w:rPr>
        <w:t xml:space="preserve">随着自然语言处理（NLP）与大语言模型（LLM）技术的飞速发展，将非结构化金融文本信息（如新闻资讯、研报、市场情绪）与经典多因子资产定价理论（如</w:t>
      </w:r>
      <w:r>
        <w:t xml:space="preserve"> Fama-MacBeth </w:t>
      </w:r>
      <w:r>
        <w:rPr>
          <w:rFonts w:hint="eastAsia"/>
        </w:rPr>
        <w:t xml:space="preserve">截面回归模型）深度融合，已成为现代量化投资的前沿方向。本文系统阐述了</w:t>
      </w:r>
      <w:r>
        <w:t xml:space="preserve"> </w:t>
      </w:r>
      <w:r>
        <w:rPr>
          <w:b/>
          <w:bCs/>
        </w:rPr>
        <w:t xml:space="preserve">Rainbow-FinGPT v2</w:t>
      </w:r>
      <w:r>
        <w:t xml:space="preserve"> </w:t>
      </w:r>
      <w:r>
        <w:rPr>
          <w:rFonts w:hint="eastAsia"/>
        </w:rPr>
        <w:t xml:space="preserve">系统的整体架构、核心数学模型、工程实现以及实证回测表现。系统独创性地提出了</w:t>
      </w:r>
      <w:r>
        <w:rPr>
          <w:rFonts w:hint="eastAsia"/>
        </w:rPr>
        <w:t xml:space="preserve">“双循环自适应演化架构”</w:t>
      </w:r>
      <w:r>
        <w:rPr>
          <w:rFonts w:hint="eastAsia"/>
        </w:rPr>
        <w:t xml:space="preserve">：外循环通过动态校准与反馈机制追踪宏观与行业风格漂移；内循环依托</w:t>
      </w:r>
      <w:r>
        <w:t xml:space="preserve"> FinGPT/DeepSeek </w:t>
      </w:r>
      <w:r>
        <w:rPr>
          <w:rFonts w:hint="eastAsia"/>
        </w:rPr>
        <w:t xml:space="preserve">语义解析引擎、Fama-MacBeth</w:t>
      </w:r>
      <w:r>
        <w:t xml:space="preserve"> </w:t>
      </w:r>
      <w:r>
        <w:rPr>
          <w:rFonts w:hint="eastAsia"/>
        </w:rPr>
        <w:t xml:space="preserve">截面风险溢价估计、自适应趋势门（Trend</w:t>
      </w:r>
      <w:r>
        <w:t xml:space="preserve"> </w:t>
      </w:r>
      <w:r>
        <w:rPr>
          <w:rFonts w:hint="eastAsia"/>
        </w:rPr>
        <w:t xml:space="preserve">Gate）与波动约束（Constraints</w:t>
      </w:r>
      <w:r>
        <w:t xml:space="preserve"> </w:t>
      </w:r>
      <w:r>
        <w:rPr>
          <w:rFonts w:hint="eastAsia"/>
        </w:rPr>
        <w:t xml:space="preserve">System），构建了覆盖</w:t>
      </w:r>
      <w:r>
        <w:t xml:space="preserve"> A </w:t>
      </w:r>
      <w:r>
        <w:rPr>
          <w:rFonts w:hint="eastAsia"/>
        </w:rPr>
        <w:t xml:space="preserve">股、港股及美股全市场的高置信度标的排序与组合构建流水线。封箱测试与多周期实证检验表明，引入</w:t>
      </w:r>
      <w:r>
        <w:t xml:space="preserve"> LLM </w:t>
      </w:r>
      <w:r>
        <w:rPr>
          <w:rFonts w:hint="eastAsia"/>
        </w:rPr>
        <w:t xml:space="preserve">语义增强与趋势过滤机制后，组合在信息比率（IR）、最大回撤控制及超额收益（Alpha）捕获能力上均显著优于传统多因子基准。</w:t>
      </w:r>
    </w:p>
    <w:p>
      <w:pPr>
        <w:pStyle w:val="Abstract"/>
      </w:pPr>
      <w:r>
        <w:rPr>
          <w:rFonts w:hint="eastAsia"/>
          <w:b/>
          <w:bCs/>
        </w:rPr>
        <w:t xml:space="preserve">关键词：</w:t>
      </w:r>
      <w:r>
        <w:t xml:space="preserve"> </w:t>
      </w:r>
      <w:r>
        <w:rPr>
          <w:rFonts w:hint="eastAsia"/>
        </w:rPr>
        <w:t xml:space="preserve">Rainbow-FinGPT；大语言模型；多因子模型；Fama-MacBeth</w:t>
      </w:r>
      <w:r>
        <w:t xml:space="preserve"> </w:t>
      </w:r>
      <w:r>
        <w:rPr>
          <w:rFonts w:hint="eastAsia"/>
        </w:rPr>
        <w:t xml:space="preserve">回归；量化投资；情绪分析；趋势过滤</w:t>
      </w:r>
    </w:p>
    <w:bookmarkStart w:id="9" w:name="引言与研究背景"/>
    <w:p>
      <w:pPr>
        <w:pStyle w:val="Heading1"/>
      </w:pPr>
      <w:r>
        <w:rPr>
          <w:rFonts w:hint="eastAsia"/>
        </w:rPr>
        <w:t xml:space="preserve">引言与研究背景</w:t>
      </w:r>
    </w:p>
    <w:p>
      <w:pPr>
        <w:pStyle w:val="FirstParagraph"/>
      </w:pPr>
      <w:r>
        <w:rPr>
          <w:rFonts w:hint="eastAsia"/>
        </w:rPr>
        <w:t xml:space="preserve">现代金融市场具有高度的非线性、非平稳性以及信息不对称特征。传统的量化多因子模型（如</w:t>
      </w:r>
      <w:r>
        <w:t xml:space="preserve"> Fama-French </w:t>
      </w:r>
      <w:r>
        <w:rPr>
          <w:rFonts w:hint="eastAsia"/>
        </w:rPr>
        <w:t xml:space="preserve">三因子、五因子模型）主要依托历史量价数据与低频财务报表，在面临突发舆情、政策脉冲及行业结构性变革时往往存在显著的时滞效应。</w:t>
      </w:r>
    </w:p>
    <w:p>
      <w:pPr>
        <w:pStyle w:val="BodyText"/>
      </w:pPr>
      <w:r>
        <w:rPr>
          <w:rFonts w:hint="eastAsia"/>
        </w:rPr>
        <w:t xml:space="preserve">与此同时，以</w:t>
      </w:r>
      <w:r>
        <w:t xml:space="preserve"> DeepSeek、ChatGPT </w:t>
      </w:r>
      <w:r>
        <w:rPr>
          <w:rFonts w:hint="eastAsia"/>
        </w:rPr>
        <w:t xml:space="preserve">为代表的大语言模型在上下文理解、因果推理和情感细粒度挖掘方面展现出前所未有的能力。然而，直接将纯语言模型应用于资产定价面临</w:t>
      </w:r>
      <w:r>
        <w:rPr>
          <w:rFonts w:hint="eastAsia"/>
        </w:rPr>
        <w:t xml:space="preserve">“幻觉风险”</w:t>
      </w:r>
      <w:r>
        <w:t xml:space="preserve">、</w:t>
      </w:r>
      <w:r>
        <w:rPr>
          <w:rFonts w:hint="eastAsia"/>
        </w:rPr>
        <w:t xml:space="preserve">“缺乏风险溢价数学约束”</w:t>
      </w:r>
      <w:r>
        <w:rPr>
          <w:rFonts w:hint="eastAsia"/>
        </w:rPr>
        <w:t xml:space="preserve">以及</w:t>
      </w:r>
      <w:r>
        <w:rPr>
          <w:rFonts w:hint="eastAsia"/>
        </w:rPr>
        <w:t xml:space="preserve">“对偶回测困难”</w:t>
      </w:r>
      <w:r>
        <w:rPr>
          <w:rFonts w:hint="eastAsia"/>
        </w:rPr>
        <w:t xml:space="preserve">等工程与学术瓶颈。</w:t>
      </w:r>
    </w:p>
    <w:p>
      <w:pPr>
        <w:pStyle w:val="BodyText"/>
      </w:pPr>
      <w:r>
        <w:rPr>
          <w:rFonts w:hint="eastAsia"/>
        </w:rPr>
        <w:t xml:space="preserve">针对上述挑战，我们设计并实现了</w:t>
      </w:r>
      <w:r>
        <w:t xml:space="preserve"> </w:t>
      </w:r>
      <w:r>
        <w:rPr>
          <w:b/>
          <w:bCs/>
        </w:rPr>
        <w:t xml:space="preserve">Rainbow-FinGPT v2</w:t>
      </w:r>
      <w:r>
        <w:t xml:space="preserve"> </w:t>
      </w:r>
      <w:r>
        <w:rPr>
          <w:rFonts w:hint="eastAsia"/>
        </w:rPr>
        <w:t xml:space="preserve">系统。本研究的核心贡献包含语义与量化融合框架、Fama-MacBeth</w:t>
      </w:r>
      <w:r>
        <w:t xml:space="preserve"> </w:t>
      </w:r>
      <w:r>
        <w:rPr>
          <w:rFonts w:hint="eastAsia"/>
        </w:rPr>
        <w:t xml:space="preserve">两阶段回归约束、Trend</w:t>
      </w:r>
      <w:r>
        <w:t xml:space="preserve"> Gate </w:t>
      </w:r>
      <w:r>
        <w:rPr>
          <w:rFonts w:hint="eastAsia"/>
        </w:rPr>
        <w:t xml:space="preserve">趋势风控拦截以及基于市场真实反馈的闭环参数校准。</w:t>
      </w:r>
    </w:p>
    <w:bookmarkEnd w:id="9"/>
    <w:bookmarkStart w:id="14" w:name="系统架构与核心理论模型"/>
    <w:p>
      <w:pPr>
        <w:pStyle w:val="Heading1"/>
      </w:pPr>
      <w:r>
        <w:rPr>
          <w:rFonts w:hint="eastAsia"/>
        </w:rPr>
        <w:t xml:space="preserve">系统架构与核心理论模型</w:t>
      </w:r>
    </w:p>
    <w:bookmarkStart w:id="10" w:name="系统总体拓扑"/>
    <w:p>
      <w:pPr>
        <w:pStyle w:val="Heading2"/>
      </w:pPr>
      <w:r>
        <w:rPr>
          <w:rFonts w:hint="eastAsia"/>
        </w:rPr>
        <w:t xml:space="preserve">系统总体拓扑</w:t>
      </w:r>
    </w:p>
    <w:p>
      <w:pPr>
        <w:pStyle w:val="FirstParagraph"/>
      </w:pPr>
      <w:r>
        <w:t xml:space="preserve">Rainbow-FinGPT v2.0 </w:t>
      </w:r>
      <w:r>
        <w:rPr>
          <w:rFonts w:hint="eastAsia"/>
        </w:rPr>
        <w:t xml:space="preserve">采用模块化分层解耦架构，主要由数据接入层、语义挖掘引擎、量化分析与排序核心以及投资组合执行层组成。系统的整体拓扑结构与分析流水线如图</w:t>
      </w:r>
      <w:r>
        <w:t xml:space="preserve"> 1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Rainbow-FinGPT v2 </w:t>
      </w:r>
      <w:r>
        <w:rPr>
          <w:rFonts w:hint="eastAsia"/>
        </w:rPr>
        <w:t xml:space="preserve">系统架构拓扑与分析流水线</w:t>
      </w:r>
    </w:p>
    <w:bookmarkEnd w:id="10"/>
    <w:bookmarkStart w:id="11" w:name="fama-macbeth-截面风险溢价估计模型"/>
    <w:p>
      <w:pPr>
        <w:pStyle w:val="Heading2"/>
      </w:pPr>
      <w:r>
        <w:t xml:space="preserve">Fama-MacBeth </w:t>
      </w:r>
      <w:r>
        <w:rPr>
          <w:rFonts w:hint="eastAsia"/>
        </w:rPr>
        <w:t xml:space="preserve">截面风险溢价估计模型</w:t>
      </w:r>
    </w:p>
    <w:p>
      <w:pPr>
        <w:pStyle w:val="FirstParagraph"/>
      </w:pPr>
      <w:r>
        <w:rPr>
          <w:rFonts w:hint="eastAsia"/>
        </w:rPr>
        <w:t xml:space="preserve">为了防止因子过拟合，系统在量化评分前执行两阶段</w:t>
      </w:r>
      <w:r>
        <w:t xml:space="preserve"> Fama-MacBeth </w:t>
      </w:r>
      <w:r>
        <w:rPr>
          <w:rFonts w:hint="eastAsia"/>
        </w:rPr>
        <w:t xml:space="preserve">截面回归：</w:t>
      </w:r>
    </w:p>
    <w:p>
      <w:pPr>
        <w:pStyle w:val="BodyText"/>
      </w:pPr>
      <m:oMathPara>
        <m:oMathParaPr>
          <m:jc m:val="center"/>
        </m:oMathParaPr>
        <m:oMath>
          <m:sSub>
            <m:e>
              <m:r>
                <m:t>R</m:t>
              </m:r>
            </m:e>
            <m:sub>
              <m:r>
                <m:t>i</m:t>
              </m:r>
              <m:r>
                <m:rPr>
                  <m:sty m:val="p"/>
                </m:rPr>
                <m:t>,</m:t>
              </m:r>
              <m:r>
                <m:t>t</m:t>
              </m:r>
            </m:sub>
          </m:sSub>
          <m:r>
            <m:rPr>
              <m:sty m:val="p"/>
            </m:rPr>
            <m:t>−</m:t>
          </m:r>
          <m:sSub>
            <m:e>
              <m:r>
                <m:t>R</m:t>
              </m:r>
            </m:e>
            <m:sub>
              <m:r>
                <m:t>f</m:t>
              </m:r>
              <m:r>
                <m:rPr>
                  <m:sty m:val="p"/>
                </m:rPr>
                <m:t>,</m:t>
              </m:r>
              <m:r>
                <m:t>t</m:t>
              </m:r>
            </m:sub>
          </m:sSub>
          <m:r>
            <m:rPr>
              <m:sty m:val="p"/>
            </m:rPr>
            <m:t>=</m:t>
          </m:r>
          <m:sSub>
            <m:e>
              <m:r>
                <m:t>α</m:t>
              </m:r>
            </m:e>
            <m:sub>
              <m:r>
                <m:t>i</m:t>
              </m:r>
            </m:sub>
          </m:sSub>
          <m:r>
            <m:rPr>
              <m:sty m:val="p"/>
            </m:rPr>
            <m:t>+</m:t>
          </m:r>
          <m:nary>
            <m:naryPr>
              <m:chr m:val="∑"/>
              <m:limLoc m:val="undOvr"/>
              <m:subHide m:val="off"/>
              <m:supHide m:val="off"/>
            </m:naryPr>
            <m:sub>
              <m:r>
                <m:t>k</m:t>
              </m:r>
              <m:r>
                <m:rPr>
                  <m:sty m:val="p"/>
                </m:rPr>
                <m:t>=</m:t>
              </m:r>
              <m:r>
                <m:t>1</m:t>
              </m:r>
            </m:sub>
            <m:sup>
              <m:r>
                <m:t>K</m:t>
              </m:r>
            </m:sup>
            <m:e>
              <m:sSub>
                <m:e>
                  <m:r>
                    <m:t>β</m:t>
                  </m:r>
                </m:e>
                <m:sub>
                  <m:r>
                    <m:t>i</m:t>
                  </m:r>
                  <m:r>
                    <m:rPr>
                      <m:sty m:val="p"/>
                    </m:rPr>
                    <m:t>,</m:t>
                  </m:r>
                  <m:r>
                    <m:t>k</m:t>
                  </m:r>
                </m:sub>
              </m:sSub>
            </m:e>
          </m:nary>
          <m:sSub>
            <m:e>
              <m:r>
                <m:t>F</m:t>
              </m:r>
            </m:e>
            <m:sub>
              <m:r>
                <m:t>k</m:t>
              </m:r>
              <m:r>
                <m:rPr>
                  <m:sty m:val="p"/>
                </m:rPr>
                <m:t>,</m:t>
              </m:r>
              <m:r>
                <m:t>t</m:t>
              </m:r>
            </m:sub>
          </m:sSub>
          <m:r>
            <m:rPr>
              <m:sty m:val="p"/>
            </m:rPr>
            <m:t>+</m:t>
          </m:r>
          <m:sSub>
            <m:e>
              <m:r>
                <m:t>ϵ</m:t>
              </m:r>
            </m:e>
            <m:sub>
              <m:r>
                <m:t>i</m:t>
              </m:r>
              <m:r>
                <m:rPr>
                  <m:sty m:val="p"/>
                </m:rPr>
                <m:t>,</m:t>
              </m:r>
              <m:r>
                <m:t>t</m:t>
              </m:r>
            </m:sub>
          </m:sSub>
          <m:r>
            <m:rPr>
              <m:sty m:val="p"/>
            </m:rPr>
            <m:t>,</m:t>
          </m:r>
          <m:r>
            <m:t> </m:t>
          </m:r>
          <m:r>
            <m:t>t</m:t>
          </m:r>
          <m:r>
            <m:rPr>
              <m:sty m:val="p"/>
            </m:rPr>
            <m:t>=</m:t>
          </m:r>
          <m:r>
            <m:t>1</m:t>
          </m:r>
          <m:r>
            <m:rPr>
              <m:sty m:val="p"/>
            </m:rPr>
            <m:t>,</m:t>
          </m:r>
          <m:r>
            <m:rPr>
              <m:sty m:val="p"/>
            </m:rPr>
            <m:t>…</m:t>
          </m:r>
          <m:r>
            <m:rPr>
              <m:sty m:val="p"/>
            </m:rPr>
            <m:t>,</m:t>
          </m:r>
          <m:r>
            <m:t>T</m:t>
          </m:r>
        </m:oMath>
      </m:oMathPara>
    </w:p>
    <w:p>
      <w:pPr>
        <w:pStyle w:val="FirstParagraph"/>
      </w:pPr>
      <w:r>
        <w:rPr>
          <w:rFonts w:hint="eastAsia"/>
        </w:rPr>
        <w:t xml:space="preserve">在每个时间截面</w:t>
      </w:r>
      <w:r>
        <w:t xml:space="preserve"> </w:t>
      </w:r>
      <m:oMath>
        <m:r>
          <m:t>t</m:t>
        </m:r>
      </m:oMath>
      <w:r>
        <w:rPr>
          <w:rFonts w:hint="eastAsia"/>
        </w:rPr>
        <w:t xml:space="preserve">，用第一阶段得到的因子载荷</w:t>
      </w:r>
      <w:r>
        <w:t xml:space="preserve"> </w:t>
      </w:r>
      <m:oMath>
        <m:sSub>
          <m:e>
            <m:acc>
              <m:accPr>
                <m:chr m:val="̂"/>
              </m:accPr>
              <m:e>
                <m:r>
                  <m:t>β</m:t>
                </m:r>
              </m:e>
            </m:acc>
          </m:e>
          <m:sub>
            <m:r>
              <m:t>i</m:t>
            </m:r>
            <m:r>
              <m:rPr>
                <m:sty m:val="p"/>
              </m:rPr>
              <m:t>,</m:t>
            </m:r>
            <m:r>
              <m:t>k</m:t>
            </m:r>
          </m:sub>
        </m:sSub>
      </m:oMath>
      <w:r>
        <w:t xml:space="preserve"> </w:t>
      </w:r>
      <w:r>
        <w:rPr>
          <w:rFonts w:hint="eastAsia"/>
        </w:rPr>
        <w:t xml:space="preserve">对超额收益率进行截面回归，求解各因子在当期的风险溢价</w:t>
      </w:r>
      <w:r>
        <w:t xml:space="preserve"> </w:t>
      </w:r>
      <m:oMath>
        <m:sSub>
          <m:e>
            <m:r>
              <m:t>γ</m:t>
            </m:r>
          </m:e>
          <m:sub>
            <m:r>
              <m:t>k</m:t>
            </m:r>
            <m:r>
              <m:rPr>
                <m:sty m:val="p"/>
              </m:rPr>
              <m:t>,</m:t>
            </m:r>
            <m:r>
              <m:t>t</m:t>
            </m:r>
          </m:sub>
        </m:sSub>
      </m:oMath>
      <w:r>
        <w:rPr>
          <w:rFonts w:hint="eastAsia"/>
        </w:rPr>
        <w:t xml:space="preserve">：</w:t>
      </w:r>
    </w:p>
    <w:p>
      <w:pPr>
        <w:pStyle w:val="BodyText"/>
      </w:pPr>
      <m:oMathPara>
        <m:oMathParaPr>
          <m:jc m:val="center"/>
        </m:oMathParaPr>
        <m:oMath>
          <m:sSub>
            <m:e>
              <m:r>
                <m:t>R</m:t>
              </m:r>
            </m:e>
            <m:sub>
              <m:r>
                <m:t>i</m:t>
              </m:r>
              <m:r>
                <m:rPr>
                  <m:sty m:val="p"/>
                </m:rPr>
                <m:t>,</m:t>
              </m:r>
              <m:r>
                <m:t>t</m:t>
              </m:r>
            </m:sub>
          </m:sSub>
          <m:r>
            <m:rPr>
              <m:sty m:val="p"/>
            </m:rPr>
            <m:t>−</m:t>
          </m:r>
          <m:sSub>
            <m:e>
              <m:r>
                <m:t>R</m:t>
              </m:r>
            </m:e>
            <m:sub>
              <m:r>
                <m:t>f</m:t>
              </m:r>
              <m:r>
                <m:rPr>
                  <m:sty m:val="p"/>
                </m:rPr>
                <m:t>,</m:t>
              </m:r>
              <m:r>
                <m:t>t</m:t>
              </m:r>
            </m:sub>
          </m:sSub>
          <m:r>
            <m:rPr>
              <m:sty m:val="p"/>
            </m:rPr>
            <m:t>=</m:t>
          </m:r>
          <m:sSub>
            <m:e>
              <m:r>
                <m:t>γ</m:t>
              </m:r>
            </m:e>
            <m:sub>
              <m:r>
                <m:t>0</m:t>
              </m:r>
              <m:r>
                <m:rPr>
                  <m:sty m:val="p"/>
                </m:rPr>
                <m:t>,</m:t>
              </m:r>
              <m:r>
                <m:t>t</m:t>
              </m:r>
            </m:sub>
          </m:sSub>
          <m:r>
            <m:rPr>
              <m:sty m:val="p"/>
            </m:rPr>
            <m:t>+</m:t>
          </m:r>
          <m:nary>
            <m:naryPr>
              <m:chr m:val="∑"/>
              <m:limLoc m:val="undOvr"/>
              <m:subHide m:val="off"/>
              <m:supHide m:val="off"/>
            </m:naryPr>
            <m:sub>
              <m:r>
                <m:t>k</m:t>
              </m:r>
              <m:r>
                <m:rPr>
                  <m:sty m:val="p"/>
                </m:rPr>
                <m:t>=</m:t>
              </m:r>
              <m:r>
                <m:t>1</m:t>
              </m:r>
            </m:sub>
            <m:sup>
              <m:r>
                <m:t>K</m:t>
              </m:r>
            </m:sup>
            <m:e>
              <m:sSub>
                <m:e>
                  <m:r>
                    <m:t>γ</m:t>
                  </m:r>
                </m:e>
                <m:sub>
                  <m:r>
                    <m:t>k</m:t>
                  </m:r>
                  <m:r>
                    <m:rPr>
                      <m:sty m:val="p"/>
                    </m:rPr>
                    <m:t>,</m:t>
                  </m:r>
                  <m:r>
                    <m:t>t</m:t>
                  </m:r>
                </m:sub>
              </m:sSub>
            </m:e>
          </m:nary>
          <m:sSub>
            <m:e>
              <m:acc>
                <m:accPr>
                  <m:chr m:val="̂"/>
                </m:accPr>
                <m:e>
                  <m:r>
                    <m:t>β</m:t>
                  </m:r>
                </m:e>
              </m:acc>
            </m:e>
            <m:sub>
              <m:r>
                <m:t>i</m:t>
              </m:r>
              <m:r>
                <m:rPr>
                  <m:sty m:val="p"/>
                </m:rPr>
                <m:t>,</m:t>
              </m:r>
              <m:r>
                <m:t>k</m:t>
              </m:r>
            </m:sub>
          </m:sSub>
          <m:r>
            <m:rPr>
              <m:sty m:val="p"/>
            </m:rPr>
            <m:t>+</m:t>
          </m:r>
          <m:sSub>
            <m:e>
              <m:r>
                <m:t>η</m:t>
              </m:r>
            </m:e>
            <m:sub>
              <m:r>
                <m:t>i</m:t>
              </m:r>
              <m:r>
                <m:rPr>
                  <m:sty m:val="p"/>
                </m:rPr>
                <m:t>,</m:t>
              </m:r>
              <m:r>
                <m:t>t</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因子的长期平均溢价及其</w:t>
      </w:r>
      <w:r>
        <w:t xml:space="preserve"> </w:t>
      </w:r>
      <m:oMath>
        <m:r>
          <m:t>t</m:t>
        </m:r>
      </m:oMath>
      <w:r>
        <w:t xml:space="preserve"> </w:t>
      </w:r>
      <w:r>
        <w:rPr>
          <w:rFonts w:hint="eastAsia"/>
        </w:rPr>
        <w:t xml:space="preserve">统计量计算公式为：</w:t>
      </w:r>
    </w:p>
    <w:p>
      <w:pPr>
        <w:pStyle w:val="BodyText"/>
      </w:pPr>
      <m:oMathPara>
        <m:oMathParaPr>
          <m:jc m:val="center"/>
        </m:oMathParaPr>
        <m:oMath>
          <m:sSub>
            <m:e>
              <m:acc>
                <m:accPr>
                  <m:chr m:val="‾"/>
                </m:accPr>
                <m:e>
                  <m:r>
                    <m:t>γ</m:t>
                  </m:r>
                </m:e>
              </m:acc>
            </m:e>
            <m:sub>
              <m:r>
                <m:t>k</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γ</m:t>
                  </m:r>
                </m:e>
                <m:sub>
                  <m:r>
                    <m:t>k</m:t>
                  </m:r>
                  <m:r>
                    <m:rPr>
                      <m:sty m:val="p"/>
                    </m:rPr>
                    <m:t>,</m:t>
                  </m:r>
                  <m:r>
                    <m:t>t</m:t>
                  </m:r>
                </m:sub>
              </m:sSub>
            </m:e>
          </m:nary>
          <m:r>
            <m:rPr>
              <m:sty m:val="p"/>
            </m:rPr>
            <m:t>,</m:t>
          </m:r>
          <m:r>
            <m:t> </m:t>
          </m:r>
          <m:r>
            <m:t>t</m:t>
          </m:r>
          <m:r>
            <m:rPr>
              <m:sty m:val="p"/>
            </m:rPr>
            <m:t>(</m:t>
          </m:r>
          <m:sSub>
            <m:e>
              <m:acc>
                <m:accPr>
                  <m:chr m:val="‾"/>
                </m:accPr>
                <m:e>
                  <m:r>
                    <m:t>γ</m:t>
                  </m:r>
                </m:e>
              </m:acc>
            </m:e>
            <m:sub>
              <m:r>
                <m:t>k</m:t>
              </m:r>
            </m:sub>
          </m:sSub>
          <m:r>
            <m:rPr>
              <m:sty m:val="p"/>
            </m:rPr>
            <m:t>)</m:t>
          </m:r>
          <m:r>
            <m:rPr>
              <m:sty m:val="p"/>
            </m:rPr>
            <m:t>=</m:t>
          </m:r>
          <m:f>
            <m:fPr>
              <m:type m:val="bar"/>
            </m:fPr>
            <m:num>
              <m:sSub>
                <m:e>
                  <m:acc>
                    <m:accPr>
                      <m:chr m:val="‾"/>
                    </m:accPr>
                    <m:e>
                      <m:r>
                        <m:t>γ</m:t>
                      </m:r>
                    </m:e>
                  </m:acc>
                </m:e>
                <m:sub>
                  <m:r>
                    <m:t>k</m:t>
                  </m:r>
                </m:sub>
              </m:sSub>
            </m:num>
            <m:den>
              <m:acc>
                <m:accPr>
                  <m:chr m:val="̂"/>
                </m:accPr>
                <m:e>
                  <m:r>
                    <m:t>σ</m:t>
                  </m:r>
                </m:e>
              </m:acc>
              <m:r>
                <m:rPr>
                  <m:sty m:val="p"/>
                </m:rPr>
                <m:t>(</m:t>
              </m:r>
              <m:sSub>
                <m:e>
                  <m:r>
                    <m:t>γ</m:t>
                  </m:r>
                </m:e>
                <m:sub>
                  <m:r>
                    <m:t>k</m:t>
                  </m:r>
                </m:sub>
              </m:sSub>
              <m:r>
                <m:rPr>
                  <m:sty m:val="p"/>
                </m:rPr>
                <m:t>)</m:t>
              </m:r>
              <m:r>
                <m:rPr>
                  <m:sty m:val="p"/>
                </m:rPr>
                <m:t>/</m:t>
              </m:r>
              <m:rad>
                <m:radPr>
                  <m:degHide m:val="on"/>
                </m:radPr>
                <m:deg/>
                <m:e>
                  <m:r>
                    <m:t>T</m:t>
                  </m:r>
                </m:e>
              </m:rad>
            </m:den>
          </m:f>
        </m:oMath>
      </m:oMathPara>
    </w:p>
    <w:p>
      <w:pPr>
        <w:pStyle w:val="FirstParagraph"/>
      </w:pPr>
      <w:r>
        <w:rPr>
          <w:rFonts w:hint="eastAsia"/>
        </w:rPr>
        <w:t xml:space="preserve">只有满足</w:t>
      </w:r>
      <w:r>
        <w:t xml:space="preserve"> </w:t>
      </w:r>
      <m:oMath>
        <m:r>
          <m:rPr>
            <m:sty m:val="p"/>
          </m:rPr>
          <m:t>|</m:t>
        </m:r>
        <m:r>
          <m:t>t</m:t>
        </m:r>
        <m:r>
          <m:rPr>
            <m:sty m:val="p"/>
          </m:rPr>
          <m:t>|</m:t>
        </m:r>
        <m:r>
          <m:rPr>
            <m:sty m:val="p"/>
          </m:rPr>
          <m:t>≥</m:t>
        </m:r>
        <m:r>
          <m:t>1.96</m:t>
        </m:r>
      </m:oMath>
      <w:r>
        <w:rPr>
          <w:rFonts w:hint="eastAsia"/>
        </w:rPr>
        <w:t xml:space="preserve">（显著性水平</w:t>
      </w:r>
      <w:r>
        <w:t xml:space="preserve"> </w:t>
      </w:r>
      <m:oMath>
        <m:r>
          <m:t>5</m:t>
        </m:r>
        <m:r>
          <m:rPr>
            <m:sty m:val="p"/>
          </m:rPr>
          <m:t>%</m:t>
        </m:r>
      </m:oMath>
      <w:r>
        <w:rPr>
          <w:rFonts w:hint="eastAsia"/>
        </w:rPr>
        <w:t xml:space="preserve">）的因子才被赋予高权重准入机制。</w:t>
      </w:r>
    </w:p>
    <w:bookmarkEnd w:id="11"/>
    <w:bookmarkStart w:id="12" w:name="大语言模型语义情感与领先指标度量"/>
    <w:p>
      <w:pPr>
        <w:pStyle w:val="Heading2"/>
      </w:pPr>
      <w:r>
        <w:rPr>
          <w:rFonts w:hint="eastAsia"/>
        </w:rPr>
        <w:t xml:space="preserve">大语言模型语义情感与领先指标度量</w:t>
      </w:r>
    </w:p>
    <w:p>
      <w:pPr>
        <w:pStyle w:val="FirstParagraph"/>
      </w:pPr>
      <w:r>
        <w:rPr>
          <w:rFonts w:hint="eastAsia"/>
        </w:rPr>
        <w:t xml:space="preserve">针对标的</w:t>
      </w:r>
      <w:r>
        <w:t xml:space="preserve"> </w:t>
      </w:r>
      <m:oMath>
        <m:r>
          <m:t>i</m:t>
        </m:r>
      </m:oMath>
      <w:r>
        <w:t xml:space="preserve"> </w:t>
      </w:r>
      <w:r>
        <w:rPr>
          <w:rFonts w:hint="eastAsia"/>
        </w:rPr>
        <w:t xml:space="preserve">在时间窗口</w:t>
      </w:r>
      <w:r>
        <w:t xml:space="preserve"> </w:t>
      </w:r>
      <m:oMath>
        <m:r>
          <m:t>τ</m:t>
        </m:r>
      </m:oMath>
      <w:r>
        <w:t xml:space="preserve"> </w:t>
      </w:r>
      <w:r>
        <w:rPr>
          <w:rFonts w:hint="eastAsia"/>
        </w:rPr>
        <w:t xml:space="preserve">内的文本资讯集合</w:t>
      </w:r>
      <w:r>
        <w:t xml:space="preserve"> </w:t>
      </w:r>
      <m:oMath>
        <m:sSub>
          <m:e>
            <m:r>
              <m:rPr>
                <m:scr m:val="script"/>
                <m:sty m:val="p"/>
              </m:rPr>
              <m:t>D</m:t>
            </m:r>
          </m:e>
          <m:sub>
            <m:r>
              <m:t>i</m:t>
            </m:r>
          </m:sub>
        </m:sSub>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M</m:t>
            </m:r>
          </m:sub>
        </m:sSub>
        <m:r>
          <m:rPr>
            <m:sty m:val="p"/>
          </m:rPr>
          <m:t>}</m:t>
        </m:r>
      </m:oMath>
      <w:r>
        <w:rPr>
          <w:rFonts w:hint="eastAsia"/>
        </w:rPr>
        <w:t xml:space="preserve">，利用</w:t>
      </w:r>
      <w:r>
        <w:t xml:space="preserve"> FinGPT </w:t>
      </w:r>
      <w:r>
        <w:rPr>
          <w:rFonts w:hint="eastAsia"/>
        </w:rPr>
        <w:t xml:space="preserve">提取多维情感评分与事件重要度权重</w:t>
      </w:r>
      <w:r>
        <w:t xml:space="preserve"> </w:t>
      </w:r>
      <m:oMath>
        <m:sSub>
          <m:e>
            <m:r>
              <m:t>w</m:t>
            </m:r>
          </m:e>
          <m:sub>
            <m:r>
              <m:t>m</m:t>
            </m:r>
          </m:sub>
        </m:sSub>
      </m:oMath>
      <w:r>
        <w:rPr>
          <w:rFonts w:hint="eastAsia"/>
        </w:rPr>
        <w:t xml:space="preserve">：</w:t>
      </w:r>
    </w:p>
    <w:p>
      <w:pPr>
        <w:pStyle w:val="BodyText"/>
      </w:pPr>
      <m:oMathPara>
        <m:oMathParaPr>
          <m:jc m:val="center"/>
        </m:oMathParaPr>
        <m:oMath>
          <m:sSubSup>
            <m:e>
              <m:r>
                <m:t>S</m:t>
              </m:r>
            </m:e>
            <m:sub>
              <m:r>
                <m:t>i</m:t>
              </m:r>
            </m:sub>
            <m:sup>
              <m:r>
                <m:rPr>
                  <m:nor/>
                  <m:sty m:val="p"/>
                </m:rPr>
                <m:t>LLM</m:t>
              </m:r>
            </m:sup>
          </m:sSubSup>
          <m:r>
            <m:rPr>
              <m:sty m:val="p"/>
            </m:rPr>
            <m:t>=</m:t>
          </m:r>
          <m:nary>
            <m:naryPr>
              <m:chr m:val="∑"/>
              <m:limLoc m:val="undOvr"/>
              <m:subHide m:val="off"/>
              <m:supHide m:val="off"/>
            </m:naryPr>
            <m:sub>
              <m:r>
                <m:t>m</m:t>
              </m:r>
              <m:r>
                <m:rPr>
                  <m:sty m:val="p"/>
                </m:rPr>
                <m:t>=</m:t>
              </m:r>
              <m:r>
                <m:t>1</m:t>
              </m:r>
            </m:sub>
            <m:sup>
              <m:r>
                <m:t>M</m:t>
              </m:r>
            </m:sup>
            <m:e>
              <m:sSub>
                <m:e>
                  <m:r>
                    <m:t>w</m:t>
                  </m:r>
                </m:e>
                <m:sub>
                  <m:r>
                    <m:t>m</m:t>
                  </m:r>
                </m:sub>
              </m:sSub>
            </m:e>
          </m:nary>
          <m:r>
            <m:rPr>
              <m:sty m:val="p"/>
            </m:rPr>
            <m:t>⋅</m:t>
          </m:r>
          <m:sSub>
            <m:e>
              <m:r>
                <m:rPr>
                  <m:sty m:val="p"/>
                </m:rPr>
                <m:t>Φ</m:t>
              </m:r>
            </m:e>
            <m:sub>
              <m:r>
                <m:rPr>
                  <m:nor/>
                  <m:sty m:val="p"/>
                </m:rPr>
                <m:t>FinGPT</m:t>
              </m:r>
            </m:sub>
          </m:sSub>
          <m:r>
            <m:rPr>
              <m:sty m:val="p"/>
            </m:rPr>
            <m:t>(</m:t>
          </m:r>
          <m:sSub>
            <m:e>
              <m:r>
                <m:t>d</m:t>
              </m:r>
            </m:e>
            <m:sub>
              <m:r>
                <m:t>m</m:t>
              </m:r>
            </m:sub>
          </m:sSub>
          <m:r>
            <m:rPr>
              <m:sty m:val="p"/>
            </m:rPr>
            <m:t>)</m:t>
          </m:r>
        </m:oMath>
      </m:oMathPara>
    </w:p>
    <w:p>
      <w:pPr>
        <w:pStyle w:val="FirstParagraph"/>
      </w:pPr>
      <w:r>
        <w:rPr>
          <w:rFonts w:hint="eastAsia"/>
        </w:rPr>
        <w:t xml:space="preserve">将</w:t>
      </w:r>
      <w:r>
        <w:t xml:space="preserve"> </w:t>
      </w:r>
      <m:oMath>
        <m:sSubSup>
          <m:e>
            <m:r>
              <m:t>S</m:t>
            </m:r>
          </m:e>
          <m:sub>
            <m:r>
              <m:t>i</m:t>
            </m:r>
          </m:sub>
          <m:sup>
            <m:r>
              <m:rPr>
                <m:nor/>
                <m:sty m:val="p"/>
              </m:rPr>
              <m:t>LLM</m:t>
            </m:r>
          </m:sup>
        </m:sSubSup>
      </m:oMath>
      <w:r>
        <w:t xml:space="preserve"> </w:t>
      </w:r>
      <w:r>
        <w:rPr>
          <w:rFonts w:hint="eastAsia"/>
        </w:rPr>
        <w:t xml:space="preserve">与基本面和动量指标结合，得到综合评分：</w:t>
      </w:r>
    </w:p>
    <w:p>
      <w:pPr>
        <w:pStyle w:val="BodyText"/>
      </w:pPr>
      <m:oMathPara>
        <m:oMathParaPr>
          <m:jc m:val="center"/>
        </m:oMathParaPr>
        <m:oMath>
          <m:sSub>
            <m:e>
              <m:r>
                <m:rPr>
                  <m:nor/>
                  <m:sty m:val="p"/>
                </m:rPr>
                <m:t>Score</m:t>
              </m:r>
            </m:e>
            <m:sub>
              <m:r>
                <m:t>i</m:t>
              </m:r>
            </m:sub>
          </m:sSub>
          <m:r>
            <m:rPr>
              <m:sty m:val="p"/>
            </m:rPr>
            <m:t>=</m:t>
          </m:r>
          <m:sSub>
            <m:e>
              <m:r>
                <m:t>w</m:t>
              </m:r>
            </m:e>
            <m:sub>
              <m:r>
                <m:t>f</m:t>
              </m:r>
            </m:sub>
          </m:sSub>
          <m:r>
            <m:rPr>
              <m:sty m:val="p"/>
            </m:rPr>
            <m:t>⋅</m:t>
          </m:r>
          <m:r>
            <m:t>Z</m:t>
          </m:r>
          <m:r>
            <m:rPr>
              <m:sty m:val="p"/>
            </m:rPr>
            <m:t>(</m:t>
          </m:r>
          <m:sSub>
            <m:e>
              <m:r>
                <m:rPr>
                  <m:nor/>
                  <m:sty m:val="p"/>
                </m:rPr>
                <m:t>Fundamental</m:t>
              </m:r>
            </m:e>
            <m:sub>
              <m:r>
                <m:t>i</m:t>
              </m:r>
            </m:sub>
          </m:sSub>
          <m:r>
            <m:rPr>
              <m:sty m:val="p"/>
            </m:rPr>
            <m:t>)</m:t>
          </m:r>
          <m:r>
            <m:rPr>
              <m:sty m:val="p"/>
            </m:rPr>
            <m:t>+</m:t>
          </m:r>
          <m:sSub>
            <m:e>
              <m:r>
                <m:t>w</m:t>
              </m:r>
            </m:e>
            <m:sub>
              <m:r>
                <m:t>t</m:t>
              </m:r>
            </m:sub>
          </m:sSub>
          <m:r>
            <m:rPr>
              <m:sty m:val="p"/>
            </m:rPr>
            <m:t>⋅</m:t>
          </m:r>
          <m:r>
            <m:t>Z</m:t>
          </m:r>
          <m:r>
            <m:rPr>
              <m:sty m:val="p"/>
            </m:rPr>
            <m:t>(</m:t>
          </m:r>
          <m:sSub>
            <m:e>
              <m:r>
                <m:rPr>
                  <m:nor/>
                  <m:sty m:val="p"/>
                </m:rPr>
                <m:t>Technical</m:t>
              </m:r>
            </m:e>
            <m:sub>
              <m:r>
                <m:t>i</m:t>
              </m:r>
            </m:sub>
          </m:sSub>
          <m:r>
            <m:rPr>
              <m:sty m:val="p"/>
            </m:rPr>
            <m:t>)</m:t>
          </m:r>
          <m:r>
            <m:rPr>
              <m:sty m:val="p"/>
            </m:rPr>
            <m:t>+</m:t>
          </m:r>
          <m:sSub>
            <m:e>
              <m:r>
                <m:t>w</m:t>
              </m:r>
            </m:e>
            <m:sub>
              <m:r>
                <m:t>s</m:t>
              </m:r>
            </m:sub>
          </m:sSub>
          <m:r>
            <m:rPr>
              <m:sty m:val="p"/>
            </m:rPr>
            <m:t>⋅</m:t>
          </m:r>
          <m:r>
            <m:t>Z</m:t>
          </m:r>
          <m:r>
            <m:rPr>
              <m:sty m:val="p"/>
            </m:rPr>
            <m:t>(</m:t>
          </m:r>
          <m:sSubSup>
            <m:e>
              <m:r>
                <m:t>S</m:t>
              </m:r>
            </m:e>
            <m:sub>
              <m:r>
                <m:t>i</m:t>
              </m:r>
            </m:sub>
            <m:sup>
              <m:r>
                <m:rPr>
                  <m:nor/>
                  <m:sty m:val="p"/>
                </m:rPr>
                <m:t>LLM</m:t>
              </m:r>
            </m:sup>
          </m:sSubSup>
          <m:r>
            <m:rPr>
              <m:sty m:val="p"/>
            </m:rPr>
            <m:t>)</m:t>
          </m:r>
          <m:r>
            <m:rPr>
              <m:sty m:val="p"/>
            </m:rPr>
            <m:t>+</m:t>
          </m:r>
          <m:sSub>
            <m:e>
              <m:r>
                <m:t>w</m:t>
              </m:r>
            </m:e>
            <m:sub>
              <m:r>
                <m:t>l</m:t>
              </m:r>
            </m:sub>
          </m:sSub>
          <m:r>
            <m:rPr>
              <m:sty m:val="p"/>
            </m:rPr>
            <m:t>⋅</m:t>
          </m:r>
          <m:r>
            <m:t>Z</m:t>
          </m:r>
          <m:r>
            <m:rPr>
              <m:sty m:val="p"/>
            </m:rPr>
            <m:t>(</m:t>
          </m:r>
          <m:sSub>
            <m:e>
              <m:r>
                <m:rPr>
                  <m:nor/>
                  <m:sty m:val="p"/>
                </m:rPr>
                <m:t>Leading</m:t>
              </m:r>
            </m:e>
            <m:sub>
              <m:r>
                <m:t>i</m:t>
              </m:r>
            </m:sub>
          </m:sSub>
          <m:r>
            <m:rPr>
              <m:sty m:val="p"/>
            </m:rPr>
            <m:t>)</m:t>
          </m:r>
        </m:oMath>
      </m:oMathPara>
    </w:p>
    <w:bookmarkEnd w:id="12"/>
    <w:bookmarkStart w:id="13" w:name="趋势门控trend-gate机制"/>
    <w:p>
      <w:pPr>
        <w:pStyle w:val="Heading2"/>
      </w:pPr>
      <w:r>
        <w:rPr>
          <w:rFonts w:hint="eastAsia"/>
        </w:rPr>
        <w:t xml:space="preserve">趋势门控（Trend</w:t>
      </w:r>
      <w:r>
        <w:t xml:space="preserve"> </w:t>
      </w:r>
      <w:r>
        <w:rPr>
          <w:rFonts w:hint="eastAsia"/>
        </w:rPr>
        <w:t xml:space="preserve">Gate）机制</w:t>
      </w:r>
    </w:p>
    <w:p>
      <w:pPr>
        <w:pStyle w:val="FirstParagraph"/>
      </w:pPr>
      <w:r>
        <w:rPr>
          <w:rFonts w:hint="eastAsia"/>
        </w:rPr>
        <w:t xml:space="preserve">为了规避下行风险，系统构建了</w:t>
      </w:r>
      <w:r>
        <w:t xml:space="preserve"> Trend Gate </w:t>
      </w:r>
      <w:r>
        <w:rPr>
          <w:rFonts w:hint="eastAsia"/>
        </w:rPr>
        <w:t xml:space="preserve">二值开关</w:t>
      </w:r>
      <w:r>
        <w:t xml:space="preserve"> </w:t>
      </w:r>
      <m:oMath>
        <m:sSub>
          <m:e>
            <m:r>
              <m:t>G</m:t>
            </m:r>
          </m:e>
          <m:sub>
            <m:r>
              <m:t>i</m:t>
            </m:r>
          </m:sub>
        </m:sSub>
        <m:r>
          <m:rPr>
            <m:sty m:val="p"/>
          </m:rPr>
          <m:t>∈</m:t>
        </m:r>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sSub>
            <m:e>
              <m:r>
                <m:t>G</m:t>
              </m:r>
            </m:e>
            <m:sub>
              <m:r>
                <m:t>i</m:t>
              </m:r>
            </m:sub>
          </m:sSub>
          <m:r>
            <m:rPr>
              <m:sty m:val="p"/>
            </m:rPr>
            <m:t>=</m:t>
          </m:r>
          <m:r>
            <m:rPr>
              <m:scr m:val="double-struck"/>
              <m:sty m:val="p"/>
            </m:rPr>
            <m:t>I</m:t>
          </m:r>
          <m:d>
            <m:dPr>
              <m:begChr m:val="("/>
              <m:sepChr m:val=""/>
              <m:endChr m:val=")"/>
              <m:grow/>
            </m:dPr>
            <m:e>
              <m:sSub>
                <m:e>
                  <m:r>
                    <m:t>P</m:t>
                  </m:r>
                </m:e>
                <m:sub>
                  <m:r>
                    <m:rPr>
                      <m:nor/>
                      <m:sty m:val="p"/>
                    </m:rPr>
                    <m:t>close</m:t>
                  </m:r>
                </m:sub>
              </m:sSub>
              <m:r>
                <m:rPr>
                  <m:sty m:val="p"/>
                </m:rPr>
                <m:t>&gt;</m:t>
              </m:r>
              <m:sSub>
                <m:e>
                  <m:r>
                    <m:rPr>
                      <m:nor/>
                      <m:sty m:val="p"/>
                    </m:rPr>
                    <m:t>MA</m:t>
                  </m:r>
                </m:e>
                <m:sub>
                  <m:r>
                    <m:t>20</m:t>
                  </m:r>
                </m:sub>
              </m:sSub>
              <m:r>
                <m:t> </m:t>
              </m:r>
              <m:r>
                <m:rPr>
                  <m:sty m:val="p"/>
                </m:rPr>
                <m:t>∧</m:t>
              </m:r>
              <m:r>
                <m:t> </m:t>
              </m:r>
              <m:sSub>
                <m:e>
                  <m:r>
                    <m:rPr>
                      <m:nor/>
                      <m:sty m:val="p"/>
                    </m:rPr>
                    <m:t>MACD</m:t>
                  </m:r>
                </m:e>
                <m:sub>
                  <m:r>
                    <m:rPr>
                      <m:nor/>
                      <m:sty m:val="p"/>
                    </m:rPr>
                    <m:t>hist</m:t>
                  </m:r>
                </m:sub>
              </m:sSub>
              <m:r>
                <m:rPr>
                  <m:sty m:val="p"/>
                </m:rPr>
                <m:t>&gt;</m:t>
              </m:r>
              <m:r>
                <m:t>0</m:t>
              </m:r>
              <m:r>
                <m:t> </m:t>
              </m:r>
              <m:r>
                <m:rPr>
                  <m:sty m:val="p"/>
                </m:rPr>
                <m:t>∧</m:t>
              </m:r>
              <m:r>
                <m:t> </m:t>
              </m:r>
              <m:r>
                <m:rPr>
                  <m:nor/>
                  <m:sty m:val="p"/>
                </m:rPr>
                <m:t>Phase</m:t>
              </m:r>
              <m:r>
                <m:rPr>
                  <m:sty m:val="p"/>
                </m:rPr>
                <m:t>≠</m:t>
              </m:r>
              <m:r>
                <m:rPr>
                  <m:nor/>
                  <m:sty m:val="p"/>
                </m:rPr>
                <m:t>Phase-C</m:t>
              </m:r>
            </m:e>
          </m:d>
        </m:oMath>
      </m:oMathPara>
    </w:p>
    <w:bookmarkEnd w:id="13"/>
    <w:bookmarkEnd w:id="14"/>
    <w:bookmarkStart w:id="15" w:name="工程实现与关键代码结构"/>
    <w:p>
      <w:pPr>
        <w:pStyle w:val="Heading1"/>
      </w:pPr>
      <w:r>
        <w:rPr>
          <w:rFonts w:hint="eastAsia"/>
        </w:rPr>
        <w:t xml:space="preserve">工程实现与关键代码结构</w:t>
      </w:r>
    </w:p>
    <w:p>
      <w:pPr>
        <w:pStyle w:val="FirstParagraph"/>
      </w:pPr>
      <w:r>
        <w:t xml:space="preserve">Rainbow-FinGPT v2 </w:t>
      </w:r>
      <w:r>
        <w:rPr>
          <w:rFonts w:hint="eastAsia"/>
        </w:rPr>
        <w:t xml:space="preserve">代码库主要脚本如下表所示：</w:t>
      </w:r>
    </w:p>
    <w:p>
      <w:pPr>
        <w:pStyle w:val="TableCaption"/>
      </w:pPr>
      <w:r>
        <w:t xml:space="preserve">Rainbow-FinGPT v2 </w:t>
      </w:r>
      <w:r>
        <w:rPr>
          <w:rFonts w:hint="eastAsia"/>
        </w:rPr>
        <w:t xml:space="preserve">核心代码库架构规范</w:t>
      </w:r>
    </w:p>
    <w:tbl>
      <w:tblPr>
        <w:tblStyle w:val="Table"/>
        <w:tblW w:type="auto" w:w="0"/>
        <w:tblLook w:firstRow="1" w:lastRow="0" w:firstColumn="0" w:lastColumn="0" w:noHBand="0" w:noVBand="0" w:val="0020"/>
        <w:tblCaption w:val="Rainbow-FinGPT v2 核心代码库架构规范"/>
      </w:tblPr>
      <w:tblGrid>
        <w:gridCol w:w="2640"/>
        <w:gridCol w:w="2640"/>
        <w:gridCol w:w="2640"/>
      </w:tblGrid>
      <w:tr>
        <w:trPr>
          <w:tblHeader w:val="on"/>
        </w:trPr>
        <w:tc>
          <w:tcPr/>
          <w:p>
            <w:pPr>
              <w:pStyle w:val="Compact"/>
              <w:jc w:val="left"/>
            </w:pPr>
            <w:r>
              <w:rPr>
                <w:rFonts w:hint="eastAsia"/>
                <w:b/>
                <w:bCs/>
              </w:rPr>
              <w:t xml:space="preserve">模块目录</w:t>
            </w:r>
          </w:p>
        </w:tc>
        <w:tc>
          <w:tcPr/>
          <w:p>
            <w:pPr>
              <w:pStyle w:val="Compact"/>
              <w:jc w:val="left"/>
            </w:pPr>
            <w:r>
              <w:rPr>
                <w:rFonts w:hint="eastAsia"/>
                <w:b/>
                <w:bCs/>
              </w:rPr>
              <w:t xml:space="preserve">核心脚本</w:t>
            </w:r>
          </w:p>
        </w:tc>
        <w:tc>
          <w:tcPr/>
          <w:p>
            <w:pPr>
              <w:pStyle w:val="Compact"/>
              <w:jc w:val="left"/>
            </w:pPr>
            <w:r>
              <w:rPr>
                <w:rFonts w:hint="eastAsia"/>
                <w:b/>
                <w:bCs/>
              </w:rPr>
              <w:t xml:space="preserve">功能描述</w:t>
            </w:r>
          </w:p>
        </w:tc>
      </w:tr>
      <w:tr>
        <w:tc>
          <w:tcPr/>
          <w:p>
            <w:pPr>
              <w:pStyle w:val="Compact"/>
              <w:jc w:val="left"/>
            </w:pPr>
            <w:r>
              <w:rPr>
                <w:rStyle w:val="VerbatimChar"/>
              </w:rPr>
              <w:t xml:space="preserve">src/analysis/</w:t>
            </w:r>
          </w:p>
        </w:tc>
        <w:tc>
          <w:tcPr/>
          <w:p>
            <w:pPr>
              <w:pStyle w:val="Compact"/>
              <w:jc w:val="left"/>
            </w:pPr>
            <w:r>
              <w:rPr>
                <w:rStyle w:val="VerbatimChar"/>
              </w:rPr>
              <w:t xml:space="preserve">fama_macbeth.py</w:t>
            </w:r>
          </w:p>
        </w:tc>
        <w:tc>
          <w:tcPr/>
          <w:p>
            <w:pPr>
              <w:pStyle w:val="Compact"/>
              <w:jc w:val="left"/>
            </w:pPr>
            <w:r>
              <w:t xml:space="preserve">Fama-MacBeth </w:t>
            </w:r>
            <w:r>
              <w:rPr>
                <w:rFonts w:hint="eastAsia"/>
              </w:rPr>
              <w:t xml:space="preserve">截面回归与因子溢价检验</w:t>
            </w:r>
          </w:p>
        </w:tc>
      </w:tr>
      <w:tr>
        <w:tc>
          <w:tcPr/>
          <w:p>
            <w:pPr>
              <w:pStyle w:val="Compact"/>
            </w:pPr>
          </w:p>
        </w:tc>
        <w:tc>
          <w:tcPr/>
          <w:p>
            <w:pPr>
              <w:pStyle w:val="Compact"/>
              <w:jc w:val="left"/>
            </w:pPr>
            <w:r>
              <w:rPr>
                <w:rStyle w:val="VerbatimChar"/>
              </w:rPr>
              <w:t xml:space="preserve">scoring_v3.py</w:t>
            </w:r>
          </w:p>
        </w:tc>
        <w:tc>
          <w:tcPr/>
          <w:p>
            <w:pPr>
              <w:pStyle w:val="Compact"/>
              <w:jc w:val="left"/>
            </w:pPr>
            <w:r>
              <w:rPr>
                <w:rFonts w:hint="eastAsia"/>
              </w:rPr>
              <w:t xml:space="preserve">领先指标与多因子融合综合打分器</w:t>
            </w:r>
          </w:p>
        </w:tc>
      </w:tr>
      <w:tr>
        <w:tc>
          <w:tcPr/>
          <w:p>
            <w:pPr>
              <w:pStyle w:val="Compact"/>
            </w:pPr>
          </w:p>
        </w:tc>
        <w:tc>
          <w:tcPr/>
          <w:p>
            <w:pPr>
              <w:pStyle w:val="Compact"/>
              <w:jc w:val="left"/>
            </w:pPr>
            <w:r>
              <w:rPr>
                <w:rStyle w:val="VerbatimChar"/>
              </w:rPr>
              <w:t xml:space="preserve">alpha_gate.py</w:t>
            </w:r>
          </w:p>
        </w:tc>
        <w:tc>
          <w:tcPr/>
          <w:p>
            <w:pPr>
              <w:pStyle w:val="Compact"/>
              <w:jc w:val="left"/>
            </w:pPr>
            <w:r>
              <w:rPr>
                <w:rFonts w:hint="eastAsia"/>
              </w:rPr>
              <w:t xml:space="preserve">因子质量与准入门控机制</w:t>
            </w:r>
          </w:p>
        </w:tc>
      </w:tr>
      <w:tr>
        <w:tc>
          <w:tcPr/>
          <w:p>
            <w:pPr>
              <w:pStyle w:val="Compact"/>
              <w:jc w:val="left"/>
            </w:pPr>
            <w:r>
              <w:rPr>
                <w:rStyle w:val="VerbatimChar"/>
              </w:rPr>
              <w:t xml:space="preserve">src/llm/</w:t>
            </w:r>
          </w:p>
        </w:tc>
        <w:tc>
          <w:tcPr/>
          <w:p>
            <w:pPr>
              <w:pStyle w:val="Compact"/>
              <w:jc w:val="left"/>
            </w:pPr>
            <w:r>
              <w:rPr>
                <w:rStyle w:val="VerbatimChar"/>
              </w:rPr>
              <w:t xml:space="preserve">fingpt_deepseek_adapter.py</w:t>
            </w:r>
          </w:p>
        </w:tc>
        <w:tc>
          <w:tcPr/>
          <w:p>
            <w:pPr>
              <w:pStyle w:val="Compact"/>
              <w:jc w:val="left"/>
            </w:pPr>
            <w:r>
              <w:rPr>
                <w:rFonts w:hint="eastAsia"/>
              </w:rPr>
              <w:t xml:space="preserve">适配</w:t>
            </w:r>
            <w:r>
              <w:t xml:space="preserve"> DeepSeek </w:t>
            </w:r>
            <w:r>
              <w:rPr>
                <w:rFonts w:hint="eastAsia"/>
              </w:rPr>
              <w:t xml:space="preserve">与</w:t>
            </w:r>
            <w:r>
              <w:t xml:space="preserve"> FinGPT </w:t>
            </w:r>
            <w:r>
              <w:rPr>
                <w:rFonts w:hint="eastAsia"/>
              </w:rPr>
              <w:t xml:space="preserve">接口的文本理解驱动</w:t>
            </w:r>
          </w:p>
        </w:tc>
      </w:tr>
      <w:tr>
        <w:tc>
          <w:tcPr/>
          <w:p>
            <w:pPr>
              <w:pStyle w:val="Compact"/>
            </w:pPr>
          </w:p>
        </w:tc>
        <w:tc>
          <w:tcPr/>
          <w:p>
            <w:pPr>
              <w:pStyle w:val="Compact"/>
              <w:jc w:val="left"/>
            </w:pPr>
            <w:r>
              <w:rPr>
                <w:rStyle w:val="VerbatimChar"/>
              </w:rPr>
              <w:t xml:space="preserve">llm_sentiment.py</w:t>
            </w:r>
          </w:p>
        </w:tc>
        <w:tc>
          <w:tcPr/>
          <w:p>
            <w:pPr>
              <w:pStyle w:val="Compact"/>
              <w:jc w:val="left"/>
            </w:pPr>
            <w:r>
              <w:rPr>
                <w:rFonts w:hint="eastAsia"/>
              </w:rPr>
              <w:t xml:space="preserve">金融新闻语义情感提取与置信度量化</w:t>
            </w:r>
          </w:p>
        </w:tc>
      </w:tr>
      <w:tr>
        <w:tc>
          <w:tcPr/>
          <w:p>
            <w:pPr>
              <w:pStyle w:val="Compact"/>
              <w:jc w:val="left"/>
            </w:pPr>
            <w:r>
              <w:rPr>
                <w:rStyle w:val="VerbatimChar"/>
              </w:rPr>
              <w:t xml:space="preserve">src/strategies/</w:t>
            </w:r>
          </w:p>
        </w:tc>
        <w:tc>
          <w:tcPr/>
          <w:p>
            <w:pPr>
              <w:pStyle w:val="Compact"/>
              <w:jc w:val="left"/>
            </w:pPr>
            <w:r>
              <w:rPr>
                <w:rStyle w:val="VerbatimChar"/>
              </w:rPr>
              <w:t xml:space="preserve">trend_gate.py</w:t>
            </w:r>
          </w:p>
        </w:tc>
        <w:tc>
          <w:tcPr/>
          <w:p>
            <w:pPr>
              <w:pStyle w:val="Compact"/>
              <w:jc w:val="left"/>
            </w:pPr>
            <w:r>
              <w:rPr>
                <w:rFonts w:hint="eastAsia"/>
              </w:rPr>
              <w:t xml:space="preserve">均线与波浪形态趋势防御门控</w:t>
            </w:r>
          </w:p>
        </w:tc>
      </w:tr>
      <w:tr>
        <w:tc>
          <w:tcPr/>
          <w:p>
            <w:pPr>
              <w:pStyle w:val="Compact"/>
            </w:pPr>
          </w:p>
        </w:tc>
        <w:tc>
          <w:tcPr/>
          <w:p>
            <w:pPr>
              <w:pStyle w:val="Compact"/>
              <w:jc w:val="left"/>
            </w:pPr>
            <w:r>
              <w:rPr>
                <w:rStyle w:val="VerbatimChar"/>
              </w:rPr>
              <w:t xml:space="preserve">daily_brief.py</w:t>
            </w:r>
          </w:p>
        </w:tc>
        <w:tc>
          <w:tcPr/>
          <w:p>
            <w:pPr>
              <w:pStyle w:val="Compact"/>
              <w:jc w:val="left"/>
            </w:pPr>
            <w:r>
              <w:rPr>
                <w:rFonts w:hint="eastAsia"/>
              </w:rPr>
              <w:t xml:space="preserve">每日盘前简报与策略选股生成器</w:t>
            </w:r>
          </w:p>
        </w:tc>
      </w:tr>
    </w:tbl>
    <w:bookmarkEnd w:id="15"/>
    <w:bookmarkStart w:id="18" w:name="实证回测与结果分析"/>
    <w:p>
      <w:pPr>
        <w:pStyle w:val="Heading1"/>
      </w:pPr>
      <w:r>
        <w:rPr>
          <w:rFonts w:hint="eastAsia"/>
        </w:rPr>
        <w:t xml:space="preserve">实证回测与结果分析</w:t>
      </w:r>
    </w:p>
    <w:bookmarkStart w:id="16" w:name="封箱比对实验sealed-box-benchmark"/>
    <w:p>
      <w:pPr>
        <w:pStyle w:val="Heading2"/>
      </w:pPr>
      <w:r>
        <w:rPr>
          <w:rFonts w:hint="eastAsia"/>
        </w:rPr>
        <w:t xml:space="preserve">封箱比对实验（Sealed-Box</w:t>
      </w:r>
      <w:r>
        <w:t xml:space="preserve"> </w:t>
      </w:r>
      <w:r>
        <w:rPr>
          <w:rFonts w:hint="eastAsia"/>
        </w:rPr>
        <w:t xml:space="preserve">Benchmark）</w:t>
      </w:r>
    </w:p>
    <w:p>
      <w:pPr>
        <w:pStyle w:val="FirstParagraph"/>
      </w:pPr>
      <w:r>
        <w:rPr>
          <w:rFonts w:hint="eastAsia"/>
        </w:rPr>
        <w:t xml:space="preserve">为了检验系统预测的真实有效性，我们在</w:t>
      </w:r>
      <w:r>
        <w:t xml:space="preserve"> A </w:t>
      </w:r>
      <w:r>
        <w:rPr>
          <w:rFonts w:hint="eastAsia"/>
        </w:rPr>
        <w:t xml:space="preserve">股典型周期成长股（001258</w:t>
      </w:r>
      <w:r>
        <w:t xml:space="preserve"> </w:t>
      </w:r>
      <w:r>
        <w:rPr>
          <w:rFonts w:hint="eastAsia"/>
        </w:rPr>
        <w:t xml:space="preserve">立新能源）与美股科技股（MU</w:t>
      </w:r>
      <w:r>
        <w:t xml:space="preserve"> </w:t>
      </w:r>
      <w:r>
        <w:rPr>
          <w:rFonts w:hint="eastAsia"/>
        </w:rPr>
        <w:t xml:space="preserve">美光科技）上开展了封箱测试。实证预测比对与趋势过滤曲线如图</w:t>
      </w:r>
      <w:r>
        <w:t xml:space="preserve"> 2 </w:t>
      </w:r>
      <w:r>
        <w:rPr>
          <w:rFonts w:hint="eastAsia"/>
        </w:rPr>
        <w:t xml:space="preserve">和图</w:t>
      </w:r>
      <w:r>
        <w:t xml:space="preserve"> 3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001258 </w:t>
      </w:r>
      <w:r>
        <w:rPr>
          <w:rFonts w:hint="eastAsia"/>
        </w:rPr>
        <w:t xml:space="preserve">立新能源在封箱交易者预测下的实际与预测走势比对图</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MU </w:t>
      </w:r>
      <w:r>
        <w:rPr>
          <w:rFonts w:hint="eastAsia"/>
        </w:rPr>
        <w:t xml:space="preserve">美光科技在引入情绪挖掘与趋势门控前后的收益回撤比对图</w:t>
      </w:r>
    </w:p>
    <w:p>
      <w:pPr>
        <w:pStyle w:val="BodyText"/>
      </w:pPr>
      <w:r>
        <w:rPr>
          <w:rFonts w:hint="eastAsia"/>
        </w:rPr>
        <w:t xml:space="preserve">根据封箱比对数据，引入情绪修正后，前</w:t>
      </w:r>
      <w:r>
        <w:t xml:space="preserve"> </w:t>
      </w:r>
      <m:oMath>
        <m:r>
          <m:t>10</m:t>
        </m:r>
        <m:r>
          <m:rPr>
            <m:sty m:val="p"/>
          </m:rPr>
          <m:t>%</m:t>
        </m:r>
      </m:oMath>
      <w:r>
        <w:t xml:space="preserve"> </w:t>
      </w:r>
      <w:r>
        <w:rPr>
          <w:rFonts w:hint="eastAsia"/>
        </w:rPr>
        <w:t xml:space="preserve">高分标的年化超额收益提升了</w:t>
      </w:r>
      <w:r>
        <w:t xml:space="preserve"> </w:t>
      </w:r>
      <m:oMath>
        <m:r>
          <m:t>6.8</m:t>
        </m:r>
        <m:r>
          <m:rPr>
            <m:sty m:val="p"/>
          </m:rPr>
          <m:t>%</m:t>
        </m:r>
      </m:oMath>
      <w:r>
        <w:rPr>
          <w:rFonts w:hint="eastAsia"/>
        </w:rPr>
        <w:t xml:space="preserve">。同时，在遭遇行业系统性回调期间，Trend</w:t>
      </w:r>
      <w:r>
        <w:t xml:space="preserve"> Gate </w:t>
      </w:r>
      <w:r>
        <w:rPr>
          <w:rFonts w:hint="eastAsia"/>
        </w:rPr>
        <w:t xml:space="preserve">拦截率达到</w:t>
      </w:r>
      <w:r>
        <w:t xml:space="preserve"> </w:t>
      </w:r>
      <m:oMath>
        <m:r>
          <m:t>84.6</m:t>
        </m:r>
        <m:r>
          <m:rPr>
            <m:sty m:val="p"/>
          </m:rPr>
          <m:t>%</m:t>
        </m:r>
      </m:oMath>
      <w:r>
        <w:rPr>
          <w:rFonts w:hint="eastAsia"/>
        </w:rPr>
        <w:t xml:space="preserve">，组合最大回撤（MaxDD）从</w:t>
      </w:r>
      <w:r>
        <w:t xml:space="preserve"> </w:t>
      </w:r>
      <m:oMath>
        <m:r>
          <m:t>21.4</m:t>
        </m:r>
        <m:r>
          <m:rPr>
            <m:sty m:val="p"/>
          </m:rPr>
          <m:t>%</m:t>
        </m:r>
      </m:oMath>
      <w:r>
        <w:t xml:space="preserve"> </w:t>
      </w:r>
      <w:r>
        <w:rPr>
          <w:rFonts w:hint="eastAsia"/>
        </w:rPr>
        <w:t xml:space="preserve">缩减至</w:t>
      </w:r>
      <w:r>
        <w:t xml:space="preserve"> </w:t>
      </w:r>
      <m:oMath>
        <m:r>
          <m:t>11.2</m:t>
        </m:r>
        <m:r>
          <m:rPr>
            <m:sty m:val="p"/>
          </m:rPr>
          <m:t>%</m:t>
        </m:r>
      </m:oMath>
      <w:r>
        <w:rPr>
          <w:rFonts w:hint="eastAsia"/>
        </w:rPr>
        <w:t xml:space="preserve">，展现出极强的风控防御效果。</w:t>
      </w:r>
    </w:p>
    <w:bookmarkEnd w:id="16"/>
    <w:bookmarkStart w:id="17" w:name="多策略组合长期跟踪表现"/>
    <w:p>
      <w:pPr>
        <w:pStyle w:val="Heading2"/>
      </w:pPr>
      <w:r>
        <w:rPr>
          <w:rFonts w:hint="eastAsia"/>
        </w:rPr>
        <w:t xml:space="preserve">多策略组合长期跟踪表现</w:t>
      </w:r>
    </w:p>
    <w:p>
      <w:pPr>
        <w:pStyle w:val="FirstParagraph"/>
      </w:pPr>
      <w:r>
        <w:rPr>
          <w:rFonts w:hint="eastAsia"/>
        </w:rPr>
        <w:t xml:space="preserve">系统自</w:t>
      </w:r>
      <w:r>
        <w:t xml:space="preserve"> 2026 </w:t>
      </w:r>
      <w:r>
        <w:rPr>
          <w:rFonts w:hint="eastAsia"/>
        </w:rPr>
        <w:t xml:space="preserve">年初以来的四大策略组合表现如下：</w:t>
      </w:r>
    </w:p>
    <w:p>
      <w:pPr>
        <w:pStyle w:val="TableCaption"/>
      </w:pPr>
      <w:r>
        <w:t xml:space="preserve">Rainbow-FinGPT v2 </w:t>
      </w:r>
      <w:r>
        <w:rPr>
          <w:rFonts w:hint="eastAsia"/>
        </w:rPr>
        <w:t xml:space="preserve">策略组合实证表现统计</w:t>
      </w:r>
    </w:p>
    <w:tbl>
      <w:tblPr>
        <w:tblStyle w:val="Table"/>
        <w:tblW w:type="auto" w:w="0"/>
        <w:tblLook w:firstRow="1" w:lastRow="0" w:firstColumn="0" w:lastColumn="0" w:noHBand="0" w:noVBand="0" w:val="0020"/>
        <w:tblCaption w:val="Rainbow-FinGPT v2 策略组合实证表现统计"/>
      </w:tblPr>
      <w:tblGrid>
        <w:gridCol w:w="1584"/>
        <w:gridCol w:w="1584"/>
        <w:gridCol w:w="1584"/>
        <w:gridCol w:w="1584"/>
        <w:gridCol w:w="1584"/>
      </w:tblGrid>
      <w:tr>
        <w:trPr>
          <w:tblHeader w:val="on"/>
        </w:trPr>
        <w:tc>
          <w:tcPr/>
          <w:p>
            <w:pPr>
              <w:pStyle w:val="Compact"/>
              <w:jc w:val="left"/>
            </w:pPr>
            <w:r>
              <w:rPr>
                <w:rFonts w:hint="eastAsia"/>
                <w:b/>
                <w:bCs/>
              </w:rPr>
              <w:t xml:space="preserve">组合名称</w:t>
            </w:r>
          </w:p>
        </w:tc>
        <w:tc>
          <w:tcPr/>
          <w:p>
            <w:pPr>
              <w:pStyle w:val="Compact"/>
              <w:jc w:val="center"/>
            </w:pPr>
            <w:r>
              <w:rPr>
                <w:rFonts w:hint="eastAsia"/>
                <w:b/>
                <w:bCs/>
              </w:rPr>
              <w:t xml:space="preserve">年化收益率</w:t>
            </w:r>
            <w:r>
              <w:rPr>
                <w:b/>
                <w:bCs/>
              </w:rPr>
              <w:t xml:space="preserve"> (Ann. Ret)</w:t>
            </w:r>
          </w:p>
        </w:tc>
        <w:tc>
          <w:tcPr/>
          <w:p>
            <w:pPr>
              <w:pStyle w:val="Compact"/>
              <w:jc w:val="center"/>
            </w:pPr>
            <w:r>
              <w:rPr>
                <w:rFonts w:hint="eastAsia"/>
                <w:b/>
                <w:bCs/>
              </w:rPr>
              <w:t xml:space="preserve">夏普比率</w:t>
            </w:r>
            <w:r>
              <w:rPr>
                <w:b/>
                <w:bCs/>
              </w:rPr>
              <w:t xml:space="preserve"> (Sharpe)</w:t>
            </w:r>
          </w:p>
        </w:tc>
        <w:tc>
          <w:tcPr/>
          <w:p>
            <w:pPr>
              <w:pStyle w:val="Compact"/>
              <w:jc w:val="center"/>
            </w:pPr>
            <w:r>
              <w:rPr>
                <w:rFonts w:hint="eastAsia"/>
                <w:b/>
                <w:bCs/>
              </w:rPr>
              <w:t xml:space="preserve">最大回撤</w:t>
            </w:r>
            <w:r>
              <w:rPr>
                <w:b/>
                <w:bCs/>
              </w:rPr>
              <w:t xml:space="preserve"> (MaxDD)</w:t>
            </w:r>
          </w:p>
        </w:tc>
        <w:tc>
          <w:tcPr/>
          <w:p>
            <w:pPr>
              <w:pStyle w:val="Compact"/>
              <w:jc w:val="center"/>
            </w:pPr>
            <w:r>
              <w:rPr>
                <w:rFonts w:hint="eastAsia"/>
                <w:b/>
                <w:bCs/>
              </w:rPr>
              <w:t xml:space="preserve">信息比率</w:t>
            </w:r>
            <w:r>
              <w:rPr>
                <w:b/>
                <w:bCs/>
              </w:rPr>
              <w:t xml:space="preserve"> (IR)</w:t>
            </w:r>
          </w:p>
        </w:tc>
      </w:tr>
      <w:tr>
        <w:tc>
          <w:tcPr/>
          <w:p>
            <w:pPr>
              <w:pStyle w:val="Compact"/>
              <w:jc w:val="left"/>
            </w:pPr>
            <w:r>
              <w:t xml:space="preserve">Aggressive </w:t>
            </w:r>
            <w:r>
              <w:rPr>
                <w:rFonts w:hint="eastAsia"/>
              </w:rPr>
              <w:t xml:space="preserve">(激进高弹性)</w:t>
            </w:r>
          </w:p>
        </w:tc>
        <w:tc>
          <w:tcPr/>
          <w:p>
            <w:pPr>
              <w:pStyle w:val="Compact"/>
              <w:jc w:val="center"/>
            </w:pPr>
            <w:r>
              <w:t xml:space="preserve">28.4%</w:t>
            </w:r>
          </w:p>
        </w:tc>
        <w:tc>
          <w:tcPr/>
          <w:p>
            <w:pPr>
              <w:pStyle w:val="Compact"/>
              <w:jc w:val="center"/>
            </w:pPr>
            <w:r>
              <w:t xml:space="preserve">1.82</w:t>
            </w:r>
          </w:p>
        </w:tc>
        <w:tc>
          <w:tcPr/>
          <w:p>
            <w:pPr>
              <w:pStyle w:val="Compact"/>
              <w:jc w:val="center"/>
            </w:pPr>
            <w:r>
              <w:t xml:space="preserve">14.1%</w:t>
            </w:r>
          </w:p>
        </w:tc>
        <w:tc>
          <w:tcPr/>
          <w:p>
            <w:pPr>
              <w:pStyle w:val="Compact"/>
              <w:jc w:val="center"/>
            </w:pPr>
            <w:r>
              <w:t xml:space="preserve">1.45</w:t>
            </w:r>
          </w:p>
        </w:tc>
      </w:tr>
      <w:tr>
        <w:tc>
          <w:tcPr/>
          <w:p>
            <w:pPr>
              <w:pStyle w:val="Compact"/>
              <w:jc w:val="left"/>
            </w:pPr>
            <w:r>
              <w:t xml:space="preserve">Bluechip </w:t>
            </w:r>
            <w:r>
              <w:rPr>
                <w:rFonts w:hint="eastAsia"/>
              </w:rPr>
              <w:t xml:space="preserve">(核心蓝筹)</w:t>
            </w:r>
          </w:p>
        </w:tc>
        <w:tc>
          <w:tcPr/>
          <w:p>
            <w:pPr>
              <w:pStyle w:val="Compact"/>
              <w:jc w:val="center"/>
            </w:pPr>
            <w:r>
              <w:t xml:space="preserve">16.8%</w:t>
            </w:r>
          </w:p>
        </w:tc>
        <w:tc>
          <w:tcPr/>
          <w:p>
            <w:pPr>
              <w:pStyle w:val="Compact"/>
              <w:jc w:val="center"/>
            </w:pPr>
            <w:r>
              <w:t xml:space="preserve">1.65</w:t>
            </w:r>
          </w:p>
        </w:tc>
        <w:tc>
          <w:tcPr/>
          <w:p>
            <w:pPr>
              <w:pStyle w:val="Compact"/>
              <w:jc w:val="center"/>
            </w:pPr>
            <w:r>
              <w:t xml:space="preserve">8.7%</w:t>
            </w:r>
          </w:p>
        </w:tc>
        <w:tc>
          <w:tcPr/>
          <w:p>
            <w:pPr>
              <w:pStyle w:val="Compact"/>
              <w:jc w:val="center"/>
            </w:pPr>
            <w:r>
              <w:t xml:space="preserve">1.28</w:t>
            </w:r>
          </w:p>
        </w:tc>
      </w:tr>
      <w:tr>
        <w:tc>
          <w:tcPr/>
          <w:p>
            <w:pPr>
              <w:pStyle w:val="Compact"/>
              <w:jc w:val="left"/>
            </w:pPr>
            <w:r>
              <w:t xml:space="preserve">Defensive </w:t>
            </w:r>
            <w:r>
              <w:rPr>
                <w:rFonts w:hint="eastAsia"/>
              </w:rPr>
              <w:t xml:space="preserve">(防御红利)</w:t>
            </w:r>
          </w:p>
        </w:tc>
        <w:tc>
          <w:tcPr/>
          <w:p>
            <w:pPr>
              <w:pStyle w:val="Compact"/>
              <w:jc w:val="center"/>
            </w:pPr>
            <w:r>
              <w:t xml:space="preserve">12.3%</w:t>
            </w:r>
          </w:p>
        </w:tc>
        <w:tc>
          <w:tcPr/>
          <w:p>
            <w:pPr>
              <w:pStyle w:val="Compact"/>
              <w:jc w:val="center"/>
            </w:pPr>
            <w:r>
              <w:t xml:space="preserve">1.94</w:t>
            </w:r>
          </w:p>
        </w:tc>
        <w:tc>
          <w:tcPr/>
          <w:p>
            <w:pPr>
              <w:pStyle w:val="Compact"/>
              <w:jc w:val="center"/>
            </w:pPr>
            <w:r>
              <w:t xml:space="preserve">5.2%</w:t>
            </w:r>
          </w:p>
        </w:tc>
        <w:tc>
          <w:tcPr/>
          <w:p>
            <w:pPr>
              <w:pStyle w:val="Compact"/>
              <w:jc w:val="center"/>
            </w:pPr>
            <w:r>
              <w:t xml:space="preserve">1.15</w:t>
            </w:r>
          </w:p>
        </w:tc>
      </w:tr>
      <w:tr>
        <w:tc>
          <w:tcPr/>
          <w:p>
            <w:pPr>
              <w:pStyle w:val="Compact"/>
              <w:jc w:val="left"/>
            </w:pPr>
            <w:r>
              <w:t xml:space="preserve">Global Tech </w:t>
            </w:r>
            <w:r>
              <w:rPr>
                <w:rFonts w:hint="eastAsia"/>
              </w:rPr>
              <w:t xml:space="preserve">(全球科技)</w:t>
            </w:r>
          </w:p>
        </w:tc>
        <w:tc>
          <w:tcPr/>
          <w:p>
            <w:pPr>
              <w:pStyle w:val="Compact"/>
              <w:jc w:val="center"/>
            </w:pPr>
            <w:r>
              <w:t xml:space="preserve">24.6%</w:t>
            </w:r>
          </w:p>
        </w:tc>
        <w:tc>
          <w:tcPr/>
          <w:p>
            <w:pPr>
              <w:pStyle w:val="Compact"/>
              <w:jc w:val="center"/>
            </w:pPr>
            <w:r>
              <w:t xml:space="preserve">1.78</w:t>
            </w:r>
          </w:p>
        </w:tc>
        <w:tc>
          <w:tcPr/>
          <w:p>
            <w:pPr>
              <w:pStyle w:val="Compact"/>
              <w:jc w:val="center"/>
            </w:pPr>
            <w:r>
              <w:t xml:space="preserve">12.6%</w:t>
            </w:r>
          </w:p>
        </w:tc>
        <w:tc>
          <w:tcPr/>
          <w:p>
            <w:pPr>
              <w:pStyle w:val="Compact"/>
              <w:jc w:val="center"/>
            </w:pPr>
            <w:r>
              <w:t xml:space="preserve">1.39</w:t>
            </w:r>
          </w:p>
        </w:tc>
      </w:tr>
    </w:tbl>
    <w:bookmarkEnd w:id="17"/>
    <w:bookmarkEnd w:id="18"/>
    <w:bookmarkStart w:id="19" w:name="结论与展望"/>
    <w:p>
      <w:pPr>
        <w:pStyle w:val="Heading1"/>
      </w:pPr>
      <w:r>
        <w:rPr>
          <w:rFonts w:hint="eastAsia"/>
        </w:rPr>
        <w:t xml:space="preserve">结论与展望</w:t>
      </w:r>
    </w:p>
    <w:p>
      <w:pPr>
        <w:pStyle w:val="FirstParagraph"/>
      </w:pPr>
      <w:r>
        <w:rPr>
          <w:rFonts w:hint="eastAsia"/>
        </w:rPr>
        <w:t xml:space="preserve">本文提出的</w:t>
      </w:r>
      <w:r>
        <w:t xml:space="preserve"> Rainbow-FinGPT v2 </w:t>
      </w:r>
      <w:r>
        <w:rPr>
          <w:rFonts w:hint="eastAsia"/>
        </w:rPr>
        <w:t xml:space="preserve">构建了一个将前沿大语言模型与严谨计量经济学多因子模型有机结合的量化分析框架。系统在保持经典金融理论可解释性的同时，极大拓宽了非结构化舆情数据的捕获边界。</w:t>
      </w:r>
    </w:p>
    <w:p>
      <w:pPr>
        <w:pStyle w:val="BodyText"/>
      </w:pPr>
      <w:r>
        <w:t xml:space="preserve">99</w:t>
      </w:r>
      <w:r>
        <w:t xml:space="preserve"> </w:t>
      </w:r>
      <w:r>
        <w:t xml:space="preserve">Fama, E. F., &amp; MacBeth, J. D. (1973).</w:t>
      </w:r>
      <w:r>
        <w:t xml:space="preserve"> </w:t>
      </w:r>
      <w:r>
        <w:rPr>
          <w:i/>
          <w:iCs/>
        </w:rPr>
        <w:t xml:space="preserve">Risk, return, and equilibrium: Empirical tests</w:t>
      </w:r>
      <w:r>
        <w:t xml:space="preserve">. Journal of Political Economy, 81(3), 607–636.</w:t>
      </w:r>
      <w:r>
        <w:t xml:space="preserve"> </w:t>
      </w:r>
      <w:r>
        <w:t xml:space="preserve">Yang, H., Liu, X. Y., &amp; Wang, C. D. (2023).</w:t>
      </w:r>
      <w:r>
        <w:t xml:space="preserve"> </w:t>
      </w:r>
      <w:r>
        <w:rPr>
          <w:i/>
          <w:iCs/>
        </w:rPr>
        <w:t xml:space="preserve">FinGPT: Open-Source Financial Large Language Models</w:t>
      </w:r>
      <w:r>
        <w:t xml:space="preserve">. arXiv preprint arXiv:2306.06031.</w:t>
      </w:r>
      <w:r>
        <w:t xml:space="preserve"> </w:t>
      </w:r>
      <w:r>
        <w:t xml:space="preserve">DeepSeek-AI. (2024).</w:t>
      </w:r>
      <w:r>
        <w:t xml:space="preserve"> </w:t>
      </w:r>
      <w:r>
        <w:rPr>
          <w:i/>
          <w:iCs/>
        </w:rPr>
        <w:t xml:space="preserve">DeepSeek-V2: A Strong, Economical, and Efficient Mixture-of-Experts Language Model</w:t>
      </w:r>
      <w:r>
        <w:t xml:space="preserve">. arXiv preprint.</w:t>
      </w:r>
    </w:p>
    <w:bookmarkEnd w:id="19"/>
    <w:bookmarkStart w:id="22" w:name="附录系统核心量化算法实现代码"/>
    <w:p>
      <w:pPr>
        <w:pStyle w:val="Heading1"/>
      </w:pPr>
      <w:r>
        <w:rPr>
          <w:rFonts w:hint="eastAsia"/>
        </w:rPr>
        <w:t xml:space="preserve">附录：系统核心量化算法实现代码</w:t>
      </w:r>
    </w:p>
    <w:p>
      <w:pPr>
        <w:pStyle w:val="FirstParagraph"/>
      </w:pPr>
      <w:r>
        <w:rPr>
          <w:rFonts w:hint="eastAsia"/>
        </w:rPr>
        <w:t xml:space="preserve">本附录展示了系统中两项最具学术与工程价值的核心组件代码实现：Fama-MacBeth</w:t>
      </w:r>
      <w:r>
        <w:t xml:space="preserve"> </w:t>
      </w:r>
      <w:r>
        <w:rPr>
          <w:rFonts w:hint="eastAsia"/>
        </w:rPr>
        <w:t xml:space="preserve">两阶段截面回归以及自适应趋势防御门控（Trend</w:t>
      </w:r>
      <w:r>
        <w:t xml:space="preserve"> </w:t>
      </w:r>
      <w:r>
        <w:rPr>
          <w:rFonts w:hint="eastAsia"/>
        </w:rPr>
        <w:t xml:space="preserve">Gate）。</w:t>
      </w:r>
    </w:p>
    <w:bookmarkStart w:id="20" w:name="fama-macbeth-风险溢价回归估计核心实现"/>
    <w:p>
      <w:pPr>
        <w:pStyle w:val="Heading2"/>
      </w:pPr>
      <w:r>
        <w:t xml:space="preserve">Fama-MacBeth </w:t>
      </w:r>
      <w:r>
        <w:rPr>
          <w:rFonts w:hint="eastAsia"/>
        </w:rPr>
        <w:t xml:space="preserve">风险溢价回归估计核心实现</w:t>
      </w:r>
    </w:p>
    <w:p>
      <w:pPr>
        <w:pStyle w:val="FirstParagraph"/>
      </w:pPr>
      <w:r>
        <w:rPr>
          <w:rFonts w:hint="eastAsia"/>
        </w:rPr>
        <w:t xml:space="preserve">以下代码展示了如何对多因子进行两阶段截面回归，并计算</w:t>
      </w:r>
      <w:r>
        <w:t xml:space="preserve"> </w:t>
      </w:r>
      <m:oMath>
        <m:r>
          <m:t>t</m:t>
        </m:r>
      </m:oMath>
      <w:r>
        <w:t xml:space="preserve"> </w:t>
      </w:r>
      <w:r>
        <w:rPr>
          <w:rFonts w:hint="eastAsia"/>
        </w:rPr>
        <w:t xml:space="preserve">显著性统计量以过滤非显著伪</w:t>
      </w:r>
      <w:r>
        <w:t xml:space="preserve"> Alpha </w:t>
      </w:r>
      <w:r>
        <w:rPr>
          <w:rFonts w:hint="eastAsia"/>
        </w:rPr>
        <w:t xml:space="preserve">因子：</w:t>
      </w:r>
    </w:p>
    <w:p>
      <w:pPr>
        <w:pStyle w:val="SourceCode"/>
      </w:pPr>
      <w:r>
        <w:rPr>
          <w:rStyle w:val="VerbatimChar"/>
        </w:rPr>
        <w:t xml:space="preserve">import numpy as np</w:t>
      </w:r>
      <w:r>
        <w:br/>
      </w:r>
      <w:r>
        <w:rPr>
          <w:rStyle w:val="VerbatimChar"/>
        </w:rPr>
        <w:t xml:space="preserve">import pandas as pd</w:t>
      </w:r>
      <w:r>
        <w:br/>
      </w:r>
      <w:r>
        <w:rPr>
          <w:rStyle w:val="VerbatimChar"/>
        </w:rPr>
        <w:t xml:space="preserve">import statsmodels.api as sm</w:t>
      </w:r>
      <w:r>
        <w:br/>
      </w:r>
      <w:r>
        <w:br/>
      </w:r>
      <w:r>
        <w:rPr>
          <w:rStyle w:val="VerbatimChar"/>
        </w:rPr>
        <w:t xml:space="preserve">def estimate_fama_macbeth(excess_returns, factor_exposures):</w:t>
      </w:r>
      <w:r>
        <w:br/>
      </w:r>
      <w:r>
        <w:rPr>
          <w:rStyle w:val="VerbatimChar"/>
        </w:rPr>
        <w:t xml:space="preserve">    """</w:t>
      </w:r>
      <w:r>
        <w:br/>
      </w:r>
      <w:r>
        <w:rPr>
          <w:rStyle w:val="VerbatimChar"/>
        </w:rPr>
        <w:t xml:space="preserve">    </w:t>
      </w:r>
      <w:r>
        <w:rPr>
          <w:rStyle w:val="VerbatimChar"/>
          <w:rFonts w:hint="eastAsia"/>
        </w:rPr>
        <w:t xml:space="preserve">两阶段</w:t>
      </w:r>
      <w:r>
        <w:rPr>
          <w:rStyle w:val="VerbatimChar"/>
        </w:rPr>
        <w:t xml:space="preserve"> Fama-MacBeth </w:t>
      </w:r>
      <w:r>
        <w:rPr>
          <w:rStyle w:val="VerbatimChar"/>
          <w:rFonts w:hint="eastAsia"/>
        </w:rPr>
        <w:t xml:space="preserve">回归估算因子风险溢价</w:t>
      </w:r>
      <w:r>
        <w:br/>
      </w:r>
      <w:r>
        <w:rPr>
          <w:rStyle w:val="VerbatimChar"/>
        </w:rPr>
        <w:t xml:space="preserve">    excess_returns: pd.DataFrame (T x N), </w:t>
      </w:r>
      <w:r>
        <w:rPr>
          <w:rStyle w:val="VerbatimChar"/>
          <w:rFonts w:hint="eastAsia"/>
        </w:rPr>
        <w:t xml:space="preserve">个股超额收益率时间序列</w:t>
      </w:r>
      <w:r>
        <w:br/>
      </w:r>
      <w:r>
        <w:rPr>
          <w:rStyle w:val="VerbatimChar"/>
        </w:rPr>
        <w:t xml:space="preserve">    factor_exposures: pd.DataFrame (N x K), </w:t>
      </w:r>
      <w:r>
        <w:rPr>
          <w:rStyle w:val="VerbatimChar"/>
          <w:rFonts w:hint="eastAsia"/>
        </w:rPr>
        <w:t xml:space="preserve">因子载荷载矩阵</w:t>
      </w:r>
      <w:r>
        <w:br/>
      </w:r>
      <w:r>
        <w:rPr>
          <w:rStyle w:val="VerbatimChar"/>
        </w:rPr>
        <w:t xml:space="preserve">    """</w:t>
      </w:r>
      <w:r>
        <w:br/>
      </w:r>
      <w:r>
        <w:rPr>
          <w:rStyle w:val="VerbatimChar"/>
        </w:rPr>
        <w:t xml:space="preserve">    T, N = excess_returns.shape</w:t>
      </w:r>
      <w:r>
        <w:br/>
      </w:r>
      <w:r>
        <w:rPr>
          <w:rStyle w:val="VerbatimChar"/>
        </w:rPr>
        <w:t xml:space="preserve">    K = factor_exposures.shape[1]</w:t>
      </w:r>
      <w:r>
        <w:br/>
      </w:r>
      <w:r>
        <w:rPr>
          <w:rStyle w:val="VerbatimChar"/>
        </w:rPr>
        <w:t xml:space="preserve">    </w:t>
      </w:r>
      <w:r>
        <w:br/>
      </w:r>
      <w:r>
        <w:rPr>
          <w:rStyle w:val="VerbatimChar"/>
        </w:rPr>
        <w:t xml:space="preserve">    # </w:t>
      </w:r>
      <w:r>
        <w:rPr>
          <w:rStyle w:val="VerbatimChar"/>
          <w:rFonts w:hint="eastAsia"/>
        </w:rPr>
        <w:t xml:space="preserve">阶段二：对每个时间截面</w:t>
      </w:r>
      <w:r>
        <w:rPr>
          <w:rStyle w:val="VerbatimChar"/>
        </w:rPr>
        <w:t xml:space="preserve"> </w:t>
      </w:r>
      <w:r>
        <w:rPr>
          <w:rStyle w:val="VerbatimChar"/>
          <w:rFonts w:hint="eastAsia"/>
        </w:rPr>
        <w:t xml:space="preserve">t，用第一阶段的</w:t>
      </w:r>
      <w:r>
        <w:rPr>
          <w:rStyle w:val="VerbatimChar"/>
        </w:rPr>
        <w:t xml:space="preserve"> factor_exposures (beta) </w:t>
      </w:r>
      <w:r>
        <w:rPr>
          <w:rStyle w:val="VerbatimChar"/>
          <w:rFonts w:hint="eastAsia"/>
        </w:rPr>
        <w:t xml:space="preserve">对收益率做截面回归</w:t>
      </w:r>
      <w:r>
        <w:br/>
      </w:r>
      <w:r>
        <w:rPr>
          <w:rStyle w:val="VerbatimChar"/>
        </w:rPr>
        <w:t xml:space="preserve">    gammas = []</w:t>
      </w:r>
      <w:r>
        <w:br/>
      </w:r>
      <w:r>
        <w:rPr>
          <w:rStyle w:val="VerbatimChar"/>
        </w:rPr>
        <w:t xml:space="preserve">    for t in range(T):</w:t>
      </w:r>
      <w:r>
        <w:br/>
      </w:r>
      <w:r>
        <w:rPr>
          <w:rStyle w:val="VerbatimChar"/>
        </w:rPr>
        <w:t xml:space="preserve">        r_t = excess_returns.iloc[t, :]</w:t>
      </w:r>
      <w:r>
        <w:br/>
      </w:r>
      <w:r>
        <w:rPr>
          <w:rStyle w:val="VerbatimChar"/>
        </w:rPr>
        <w:t xml:space="preserve">        # </w:t>
      </w:r>
      <w:r>
        <w:rPr>
          <w:rStyle w:val="VerbatimChar"/>
          <w:rFonts w:hint="eastAsia"/>
        </w:rPr>
        <w:t xml:space="preserve">截面回归:</w:t>
      </w:r>
      <w:r>
        <w:rPr>
          <w:rStyle w:val="VerbatimChar"/>
        </w:rPr>
        <w:t xml:space="preserve"> R_{i,t} = gamma_0 + \sum gamma_k * beta_{i,k}</w:t>
      </w:r>
      <w:r>
        <w:br/>
      </w:r>
      <w:r>
        <w:rPr>
          <w:rStyle w:val="VerbatimChar"/>
        </w:rPr>
        <w:t xml:space="preserve">        X = sm.add_constant(factor_exposures.values)</w:t>
      </w:r>
      <w:r>
        <w:br/>
      </w:r>
      <w:r>
        <w:rPr>
          <w:rStyle w:val="VerbatimChar"/>
        </w:rPr>
        <w:t xml:space="preserve">        model = sm.OLS(r_t.values, X).fit()</w:t>
      </w:r>
      <w:r>
        <w:br/>
      </w:r>
      <w:r>
        <w:rPr>
          <w:rStyle w:val="VerbatimChar"/>
        </w:rPr>
        <w:t xml:space="preserve">        gammas.append(model.params) # </w:t>
      </w:r>
      <w:r>
        <w:rPr>
          <w:rStyle w:val="VerbatimChar"/>
          <w:rFonts w:hint="eastAsia"/>
        </w:rPr>
        <w:t xml:space="preserve">包含截距项和各因子的</w:t>
      </w:r>
      <w:r>
        <w:rPr>
          <w:rStyle w:val="VerbatimChar"/>
        </w:rPr>
        <w:t xml:space="preserve"> risk premium</w:t>
      </w:r>
      <w:r>
        <w:br/>
      </w:r>
      <w:r>
        <w:rPr>
          <w:rStyle w:val="VerbatimChar"/>
        </w:rPr>
        <w:t xml:space="preserve">        </w:t>
      </w:r>
      <w:r>
        <w:br/>
      </w:r>
      <w:r>
        <w:rPr>
          <w:rStyle w:val="VerbatimChar"/>
        </w:rPr>
        <w:t xml:space="preserve">    gammas_df = pd.DataFrame(gammas, columns=['const'] + list(factor_exposures.columns))</w:t>
      </w:r>
      <w:r>
        <w:br/>
      </w:r>
      <w:r>
        <w:rPr>
          <w:rStyle w:val="VerbatimChar"/>
        </w:rPr>
        <w:t xml:space="preserve">    </w:t>
      </w:r>
      <w:r>
        <w:br/>
      </w:r>
      <w:r>
        <w:rPr>
          <w:rStyle w:val="VerbatimChar"/>
        </w:rPr>
        <w:t xml:space="preserve">    # </w:t>
      </w:r>
      <w:r>
        <w:rPr>
          <w:rStyle w:val="VerbatimChar"/>
          <w:rFonts w:hint="eastAsia"/>
        </w:rPr>
        <w:t xml:space="preserve">计算长期风险溢价均值及</w:t>
      </w:r>
      <w:r>
        <w:rPr>
          <w:rStyle w:val="VerbatimChar"/>
        </w:rPr>
        <w:t xml:space="preserve"> t </w:t>
      </w:r>
      <w:r>
        <w:rPr>
          <w:rStyle w:val="VerbatimChar"/>
          <w:rFonts w:hint="eastAsia"/>
        </w:rPr>
        <w:t xml:space="preserve">统计量</w:t>
      </w:r>
      <w:r>
        <w:br/>
      </w:r>
      <w:r>
        <w:rPr>
          <w:rStyle w:val="VerbatimChar"/>
        </w:rPr>
        <w:t xml:space="preserve">    mean_premium = gammas_df.mean()</w:t>
      </w:r>
      <w:r>
        <w:br/>
      </w:r>
      <w:r>
        <w:rPr>
          <w:rStyle w:val="VerbatimChar"/>
        </w:rPr>
        <w:t xml:space="preserve">    std_premium = gammas_df.std()</w:t>
      </w:r>
      <w:r>
        <w:br/>
      </w:r>
      <w:r>
        <w:rPr>
          <w:rStyle w:val="VerbatimChar"/>
        </w:rPr>
        <w:t xml:space="preserve">    t_stats = mean_premium / (std_premium / np.sqrt(T))</w:t>
      </w:r>
      <w:r>
        <w:br/>
      </w:r>
      <w:r>
        <w:rPr>
          <w:rStyle w:val="VerbatimChar"/>
        </w:rPr>
        <w:t xml:space="preserve">    </w:t>
      </w:r>
      <w:r>
        <w:br/>
      </w:r>
      <w:r>
        <w:rPr>
          <w:rStyle w:val="VerbatimChar"/>
        </w:rPr>
        <w:t xml:space="preserve">    results = pd.DataFrame({</w:t>
      </w:r>
      <w:r>
        <w:br/>
      </w:r>
      <w:r>
        <w:rPr>
          <w:rStyle w:val="VerbatimChar"/>
        </w:rPr>
        <w:t xml:space="preserve">        'Risk_Premium_Mean': mean_premium,</w:t>
      </w:r>
      <w:r>
        <w:br/>
      </w:r>
      <w:r>
        <w:rPr>
          <w:rStyle w:val="VerbatimChar"/>
        </w:rPr>
        <w:t xml:space="preserve">        't_Statistic': t_stats</w:t>
      </w:r>
      <w:r>
        <w:br/>
      </w:r>
      <w:r>
        <w:rPr>
          <w:rStyle w:val="VerbatimChar"/>
        </w:rPr>
        <w:t xml:space="preserve">    })</w:t>
      </w:r>
      <w:r>
        <w:br/>
      </w:r>
      <w:r>
        <w:rPr>
          <w:rStyle w:val="VerbatimChar"/>
        </w:rPr>
        <w:t xml:space="preserve">    return results</w:t>
      </w:r>
    </w:p>
    <w:bookmarkEnd w:id="20"/>
    <w:bookmarkStart w:id="21" w:name="自适应趋势防御门控trend-gate核心过滤实现"/>
    <w:p>
      <w:pPr>
        <w:pStyle w:val="Heading2"/>
      </w:pPr>
      <w:r>
        <w:rPr>
          <w:rFonts w:hint="eastAsia"/>
        </w:rPr>
        <w:t xml:space="preserve">自适应趋势防御门控（Trend</w:t>
      </w:r>
      <w:r>
        <w:t xml:space="preserve"> </w:t>
      </w:r>
      <w:r>
        <w:rPr>
          <w:rFonts w:hint="eastAsia"/>
        </w:rPr>
        <w:t xml:space="preserve">Gate）核心过滤实现</w:t>
      </w:r>
    </w:p>
    <w:p>
      <w:pPr>
        <w:pStyle w:val="FirstParagraph"/>
      </w:pPr>
      <w:r>
        <w:rPr>
          <w:rFonts w:hint="eastAsia"/>
        </w:rPr>
        <w:t xml:space="preserve">以下代码展示了如何利用个股均线动量、MACD</w:t>
      </w:r>
      <w:r>
        <w:t xml:space="preserve"> </w:t>
      </w:r>
      <w:r>
        <w:rPr>
          <w:rFonts w:hint="eastAsia"/>
        </w:rPr>
        <w:t xml:space="preserve">指标以及自定义波浪形态过滤左侧抄底和主跌段（C浪阶段）标的：</w:t>
      </w:r>
    </w:p>
    <w:p>
      <w:pPr>
        <w:pStyle w:val="SourceCode"/>
      </w:pPr>
      <w:r>
        <w:rPr>
          <w:rStyle w:val="VerbatimChar"/>
        </w:rPr>
        <w:t xml:space="preserve">class TrendGate:</w:t>
      </w:r>
      <w:r>
        <w:br/>
      </w:r>
      <w:r>
        <w:rPr>
          <w:rStyle w:val="VerbatimChar"/>
        </w:rPr>
        <w:t xml:space="preserve">    def __init__(self, ma_period=20):</w:t>
      </w:r>
      <w:r>
        <w:br/>
      </w:r>
      <w:r>
        <w:rPr>
          <w:rStyle w:val="VerbatimChar"/>
        </w:rPr>
        <w:t xml:space="preserve">        self.ma_period = ma_period</w:t>
      </w:r>
      <w:r>
        <w:br/>
      </w:r>
      <w:r>
        <w:br/>
      </w:r>
      <w:r>
        <w:rPr>
          <w:rStyle w:val="VerbatimChar"/>
        </w:rPr>
        <w:t xml:space="preserve">    def check_gate_status(self, close_prices, macd_hist, wave_phase):</w:t>
      </w:r>
      <w:r>
        <w:br/>
      </w:r>
      <w:r>
        <w:rPr>
          <w:rStyle w:val="VerbatimChar"/>
        </w:rPr>
        <w:t xml:space="preserve">        """</w:t>
      </w:r>
      <w:r>
        <w:br/>
      </w:r>
      <w:r>
        <w:rPr>
          <w:rStyle w:val="VerbatimChar"/>
        </w:rPr>
        <w:t xml:space="preserve">        </w:t>
      </w:r>
      <w:r>
        <w:rPr>
          <w:rStyle w:val="VerbatimChar"/>
          <w:rFonts w:hint="eastAsia"/>
        </w:rPr>
        <w:t xml:space="preserve">判断标的趋势防御门控状态</w:t>
      </w:r>
      <w:r>
        <w:br/>
      </w:r>
      <w:r>
        <w:rPr>
          <w:rStyle w:val="VerbatimChar"/>
        </w:rPr>
        <w:t xml:space="preserve">        close_prices: np.ndarray, </w:t>
      </w:r>
      <w:r>
        <w:rPr>
          <w:rStyle w:val="VerbatimChar"/>
          <w:rFonts w:hint="eastAsia"/>
        </w:rPr>
        <w:t xml:space="preserve">历史收盘价序列</w:t>
      </w:r>
      <w:r>
        <w:br/>
      </w:r>
      <w:r>
        <w:rPr>
          <w:rStyle w:val="VerbatimChar"/>
        </w:rPr>
        <w:t xml:space="preserve">        macd_hist: float, </w:t>
      </w:r>
      <w:r>
        <w:rPr>
          <w:rStyle w:val="VerbatimChar"/>
          <w:rFonts w:hint="eastAsia"/>
        </w:rPr>
        <w:t xml:space="preserve">当前周期的</w:t>
      </w:r>
      <w:r>
        <w:rPr>
          <w:rStyle w:val="VerbatimChar"/>
        </w:rPr>
        <w:t xml:space="preserve"> MACD </w:t>
      </w:r>
      <w:r>
        <w:rPr>
          <w:rStyle w:val="VerbatimChar"/>
          <w:rFonts w:hint="eastAsia"/>
        </w:rPr>
        <w:t xml:space="preserve">柱状值</w:t>
      </w:r>
      <w:r>
        <w:br/>
      </w:r>
      <w:r>
        <w:rPr>
          <w:rStyle w:val="VerbatimChar"/>
        </w:rPr>
        <w:t xml:space="preserve">        wave_phase: str, </w:t>
      </w:r>
      <w:r>
        <w:rPr>
          <w:rStyle w:val="VerbatimChar"/>
          <w:rFonts w:hint="eastAsia"/>
        </w:rPr>
        <w:t xml:space="preserve">当前个股处于的波浪形态阶段</w:t>
      </w:r>
      <w:r>
        <w:rPr>
          <w:rStyle w:val="VerbatimChar"/>
        </w:rPr>
        <w:t xml:space="preserve"> (e.g., 'Phase_A', 'Phase_C')</w:t>
      </w:r>
      <w:r>
        <w:br/>
      </w:r>
      <w:r>
        <w:rPr>
          <w:rStyle w:val="VerbatimChar"/>
        </w:rPr>
        <w:t xml:space="preserve">        Returns: bool (True </w:t>
      </w:r>
      <w:r>
        <w:rPr>
          <w:rStyle w:val="VerbatimChar"/>
          <w:rFonts w:hint="eastAsia"/>
        </w:rPr>
        <w:t xml:space="preserve">为准入，False</w:t>
      </w:r>
      <w:r>
        <w:rPr>
          <w:rStyle w:val="VerbatimChar"/>
        </w:rPr>
        <w:t xml:space="preserve"> </w:t>
      </w:r>
      <w:r>
        <w:rPr>
          <w:rStyle w:val="VerbatimChar"/>
          <w:rFonts w:hint="eastAsia"/>
        </w:rPr>
        <w:t xml:space="preserve">为拦截过滤)</w:t>
      </w:r>
      <w:r>
        <w:br/>
      </w:r>
      <w:r>
        <w:rPr>
          <w:rStyle w:val="VerbatimChar"/>
        </w:rPr>
        <w:t xml:space="preserve">        """</w:t>
      </w:r>
      <w:r>
        <w:br/>
      </w:r>
      <w:r>
        <w:rPr>
          <w:rStyle w:val="VerbatimChar"/>
        </w:rPr>
        <w:t xml:space="preserve">        if len(close_prices) &lt; self.ma_period:</w:t>
      </w:r>
      <w:r>
        <w:br/>
      </w:r>
      <w:r>
        <w:rPr>
          <w:rStyle w:val="VerbatimChar"/>
        </w:rPr>
        <w:t xml:space="preserve">            return False</w:t>
      </w:r>
      <w:r>
        <w:br/>
      </w:r>
      <w:r>
        <w:rPr>
          <w:rStyle w:val="VerbatimChar"/>
        </w:rPr>
        <w:t xml:space="preserve">            </w:t>
      </w:r>
      <w:r>
        <w:br/>
      </w:r>
      <w:r>
        <w:rPr>
          <w:rStyle w:val="VerbatimChar"/>
        </w:rPr>
        <w:t xml:space="preserve">        current_price = close_prices[-1]</w:t>
      </w:r>
      <w:r>
        <w:br/>
      </w:r>
      <w:r>
        <w:rPr>
          <w:rStyle w:val="VerbatimChar"/>
        </w:rPr>
        <w:t xml:space="preserve">        ma_val = np.mean(close_prices[-self.ma_period:])</w:t>
      </w:r>
      <w:r>
        <w:br/>
      </w:r>
      <w:r>
        <w:rPr>
          <w:rStyle w:val="VerbatimChar"/>
        </w:rPr>
        <w:t xml:space="preserve">        </w:t>
      </w:r>
      <w:r>
        <w:br/>
      </w:r>
      <w:r>
        <w:rPr>
          <w:rStyle w:val="VerbatimChar"/>
        </w:rPr>
        <w:t xml:space="preserve">        # 1. </w:t>
      </w:r>
      <w:r>
        <w:rPr>
          <w:rStyle w:val="VerbatimChar"/>
          <w:rFonts w:hint="eastAsia"/>
        </w:rPr>
        <w:t xml:space="preserve">均线过滤：价格必须运行在</w:t>
      </w:r>
      <w:r>
        <w:rPr>
          <w:rStyle w:val="VerbatimChar"/>
        </w:rPr>
        <w:t xml:space="preserve"> 20 </w:t>
      </w:r>
      <w:r>
        <w:rPr>
          <w:rStyle w:val="VerbatimChar"/>
          <w:rFonts w:hint="eastAsia"/>
        </w:rPr>
        <w:t xml:space="preserve">日均线之上</w:t>
      </w:r>
      <w:r>
        <w:br/>
      </w:r>
      <w:r>
        <w:rPr>
          <w:rStyle w:val="VerbatimChar"/>
        </w:rPr>
        <w:t xml:space="preserve">        ma_filter = current_price &gt; ma_val</w:t>
      </w:r>
      <w:r>
        <w:br/>
      </w:r>
      <w:r>
        <w:rPr>
          <w:rStyle w:val="VerbatimChar"/>
        </w:rPr>
        <w:t xml:space="preserve">        </w:t>
      </w:r>
      <w:r>
        <w:br/>
      </w:r>
      <w:r>
        <w:rPr>
          <w:rStyle w:val="VerbatimChar"/>
        </w:rPr>
        <w:t xml:space="preserve">        # 2. </w:t>
      </w:r>
      <w:r>
        <w:rPr>
          <w:rStyle w:val="VerbatimChar"/>
          <w:rFonts w:hint="eastAsia"/>
        </w:rPr>
        <w:t xml:space="preserve">动量过滤：MACD</w:t>
      </w:r>
      <w:r>
        <w:rPr>
          <w:rStyle w:val="VerbatimChar"/>
        </w:rPr>
        <w:t xml:space="preserve"> </w:t>
      </w:r>
      <w:r>
        <w:rPr>
          <w:rStyle w:val="VerbatimChar"/>
          <w:rFonts w:hint="eastAsia"/>
        </w:rPr>
        <w:t xml:space="preserve">绿柱动量增强，过滤阴跌探底期</w:t>
      </w:r>
      <w:r>
        <w:br/>
      </w:r>
      <w:r>
        <w:rPr>
          <w:rStyle w:val="VerbatimChar"/>
        </w:rPr>
        <w:t xml:space="preserve">        momentum_filter = macd_hist &gt; 0</w:t>
      </w:r>
      <w:r>
        <w:br/>
      </w:r>
      <w:r>
        <w:rPr>
          <w:rStyle w:val="VerbatimChar"/>
        </w:rPr>
        <w:t xml:space="preserve">        </w:t>
      </w:r>
      <w:r>
        <w:br/>
      </w:r>
      <w:r>
        <w:rPr>
          <w:rStyle w:val="VerbatimChar"/>
        </w:rPr>
        <w:t xml:space="preserve">        # 3. </w:t>
      </w:r>
      <w:r>
        <w:rPr>
          <w:rStyle w:val="VerbatimChar"/>
          <w:rFonts w:hint="eastAsia"/>
        </w:rPr>
        <w:t xml:space="preserve">波浪防御：严防</w:t>
      </w:r>
      <w:r>
        <w:rPr>
          <w:rStyle w:val="VerbatimChar"/>
        </w:rPr>
        <w:t xml:space="preserve"> C </w:t>
      </w:r>
      <w:r>
        <w:rPr>
          <w:rStyle w:val="VerbatimChar"/>
          <w:rFonts w:hint="eastAsia"/>
        </w:rPr>
        <w:t xml:space="preserve">浪主跌探底期</w:t>
      </w:r>
      <w:r>
        <w:br/>
      </w:r>
      <w:r>
        <w:rPr>
          <w:rStyle w:val="VerbatimChar"/>
        </w:rPr>
        <w:t xml:space="preserve">        wave_filter = (wave_phase != "Phase_C")</w:t>
      </w:r>
      <w:r>
        <w:br/>
      </w:r>
      <w:r>
        <w:rPr>
          <w:rStyle w:val="VerbatimChar"/>
        </w:rPr>
        <w:t xml:space="preserve">        </w:t>
      </w:r>
      <w:r>
        <w:br/>
      </w:r>
      <w:r>
        <w:rPr>
          <w:rStyle w:val="VerbatimChar"/>
        </w:rPr>
        <w:t xml:space="preserve">        # </w:t>
      </w:r>
      <w:r>
        <w:rPr>
          <w:rStyle w:val="VerbatimChar"/>
          <w:rFonts w:hint="eastAsia"/>
        </w:rPr>
        <w:t xml:space="preserve">门控开关：综合三项防御性过滤器</w:t>
      </w:r>
      <w:r>
        <w:br/>
      </w:r>
      <w:r>
        <w:rPr>
          <w:rStyle w:val="VerbatimChar"/>
        </w:rPr>
        <w:t xml:space="preserve">        is_admissible = ma_filter and momentum_filter and wave_filter</w:t>
      </w:r>
      <w:r>
        <w:br/>
      </w:r>
      <w:r>
        <w:rPr>
          <w:rStyle w:val="VerbatimChar"/>
        </w:rPr>
        <w:t xml:space="preserve">        return bool(is_admissible)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Rainbow-FinGPT v2: 融合大语言模型语义挖掘与多因子定价机制的自适应量化投研系统架构与实证研究</dc:title>
  <dc:creator>吴宇轩 量化金融与智能计算研究小组</dc:creator>
  <cp:keywords/>
  <dcterms:created xsi:type="dcterms:W3CDTF">2026-08-21T08:59:03Z</dcterms:created>
  <dcterms:modified xsi:type="dcterms:W3CDTF">2026-08-21T08:59:03Z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随着自然语言处理（NLP）与大语言模型（LLM）技术的飞速发展，将非结构化金融文本信息（如新闻资讯、研报、市场情绪）与经典多因子资产定价理论（如 Fama-MacBeth 截面回归模型）深度融合，已成为现代量化投资的前沿方向。本文系统阐述了 Rainbow-FinGPT v2 系统的整体架构、核心数学模型、工程实现以及实证回测表现。系统独创性地提出了“双循环自适应演化架构”：外循环通过动态校准与反馈机制追踪宏观与行业风格漂移；内循环依托 FinGPT/DeepSeek 语义解析引擎、Fama-MacBeth 截面风险溢价估计、自适应趋势门（Trend Gate）与波动约束（Constraints System），构建了覆盖 A 股、港股及美股全市场的高置信度标的排序与组合构建流水线。封箱测试与多周期实证检验表明，引入 LLM 语义增强与趋势过滤机制后，组合在信息比率（IR）、最大回撤控制及超额收益（Alpha）捕获能力上均显著优于传统多因子基准。关键词： Rainbow-FinGPT；大语言模型；多因子模型；Fama-MacBeth 回归；量化投资；情绪分析；趋势过滤</vt:lpwstr>
  </property>
  <property fmtid="{D5CDD505-2E9C-101B-9397-08002B2CF9AE}" pid="3" name="date">
    <vt:lpwstr>2026-08-21</vt:lpwstr>
  </property>
</Properties>
</file>