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F690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相较初版的主要内容提升</w:t>
      </w:r>
    </w:p>
    <w:p w14:paraId="777F5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数据来源更透明</w:t>
      </w:r>
    </w:p>
    <w:p w14:paraId="0A4CDC9D">
      <w:pPr>
        <w:pStyle w:val="2"/>
        <w:keepNext w:val="0"/>
        <w:keepLines w:val="0"/>
        <w:widowControl/>
        <w:suppressLineNumbers w:val="0"/>
      </w:pPr>
      <w:r>
        <w:t>初版主要展示结果，读者难以判断数据从哪里来。这一版明确标注：</w:t>
      </w:r>
    </w:p>
    <w:p w14:paraId="1C4E5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本地回测数据目录；</w:t>
      </w:r>
    </w:p>
    <w:p w14:paraId="417260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market_prices.csv</w:t>
      </w:r>
      <w:r>
        <w:t>、</w:t>
      </w:r>
      <w:r>
        <w:rPr>
          <w:rStyle w:val="6"/>
        </w:rPr>
        <w:t>nowcasting_spot.csv</w:t>
      </w:r>
      <w:r>
        <w:t>、</w:t>
      </w:r>
      <w:r>
        <w:rPr>
          <w:rStyle w:val="6"/>
        </w:rPr>
        <w:t>factors.csv</w:t>
      </w:r>
      <w:r>
        <w:t>；</w:t>
      </w:r>
    </w:p>
    <w:p w14:paraId="31D31F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日频价格、先行指标和因子字段；</w:t>
      </w:r>
    </w:p>
    <w:p w14:paraId="32DC02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qfq 复权口径；</w:t>
      </w:r>
    </w:p>
    <w:p w14:paraId="3079A8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每个数据文件的 SHA-256 摘要；</w:t>
      </w:r>
    </w:p>
    <w:p w14:paraId="7C8A60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原始下载接口和下载时间没有随数据集保存，因此不再宣称为官方直连数据。</w:t>
      </w:r>
    </w:p>
    <w:p w14:paraId="0F5AAA16">
      <w:pPr>
        <w:pStyle w:val="2"/>
        <w:keepNext w:val="0"/>
        <w:keepLines w:val="0"/>
        <w:widowControl/>
        <w:suppressLineNumbers w:val="0"/>
      </w:pPr>
      <w:r>
        <w:t>优势是报告可以被复核，至少能够确认当前 PDF 使用的具体数据文件没有被悄悄替换。</w:t>
      </w:r>
    </w:p>
    <w:p w14:paraId="6E04E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/>
          <w:lang w:val="en-US" w:eastAsia="zh-CN"/>
        </w:rPr>
        <w:t xml:space="preserve"> </w:t>
      </w:r>
      <w:r>
        <w:t>交易口径更加严谨</w:t>
      </w:r>
    </w:p>
    <w:p w14:paraId="72A3725C">
      <w:pPr>
        <w:pStyle w:val="2"/>
        <w:keepNext w:val="0"/>
        <w:keepLines w:val="0"/>
        <w:widowControl/>
        <w:suppressLineNumbers w:val="0"/>
      </w:pPr>
      <w:r>
        <w:t>初版使用“真实交易”“真实成交”“物理隔绝实测”等容易过度表达的说法，容易让评委误以为是真实账户交易。</w:t>
      </w:r>
    </w:p>
    <w:p w14:paraId="7811DA76">
      <w:pPr>
        <w:pStyle w:val="2"/>
        <w:keepNext w:val="0"/>
        <w:keepLines w:val="0"/>
        <w:widowControl/>
        <w:suppressLineNumbers w:val="0"/>
      </w:pPr>
      <w:r>
        <w:t>这一版改为：</w:t>
      </w:r>
    </w:p>
    <w:p w14:paraId="6174BE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日频历史回测；</w:t>
      </w:r>
    </w:p>
    <w:p w14:paraId="773104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使用 t 日收盘收益近似结算；</w:t>
      </w:r>
    </w:p>
    <w:p w14:paraId="6D0AA9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未提供开盘价，因此不能视为真实开盘成交；</w:t>
      </w:r>
    </w:p>
    <w:p w14:paraId="5406D7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设置买入费率、卖出费率和闲置现金收益；</w:t>
      </w:r>
    </w:p>
    <w:p w14:paraId="0656BD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明确结果不等同于账户业绩证明。</w:t>
      </w:r>
    </w:p>
    <w:p w14:paraId="45B8A4A2">
      <w:pPr>
        <w:pStyle w:val="2"/>
        <w:keepNext w:val="0"/>
        <w:keepLines w:val="0"/>
        <w:widowControl/>
        <w:suppressLineNumbers w:val="0"/>
      </w:pPr>
      <w:r>
        <w:t>优势是把“模型回测”和“真实交易”区分开，降低学术造假或夸大宣传风险。</w:t>
      </w:r>
    </w:p>
    <w:p w14:paraId="7E18B6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删除了不可靠的统计内容</w:t>
      </w:r>
    </w:p>
    <w:p w14:paraId="73BE5EF2">
      <w:pPr>
        <w:pStyle w:val="2"/>
        <w:keepNext w:val="0"/>
        <w:keepLines w:val="0"/>
        <w:widowControl/>
        <w:suppressLineNumbers w:val="0"/>
      </w:pPr>
      <w:r>
        <w:t>初版存在随机生成 t 值曲线、硬编码参考门槛等问题，容易造成统计结果看起来很漂亮，但无法由数据复现。</w:t>
      </w:r>
    </w:p>
    <w:p w14:paraId="5F7C16D4">
      <w:pPr>
        <w:pStyle w:val="2"/>
        <w:keepNext w:val="0"/>
        <w:keepLines w:val="0"/>
        <w:widowControl/>
        <w:suppressLineNumbers w:val="0"/>
      </w:pPr>
      <w:r>
        <w:t>这一版删除或弱化了：</w:t>
      </w:r>
    </w:p>
    <w:p w14:paraId="4CDBBF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随机生成的统计曲线；</w:t>
      </w:r>
    </w:p>
    <w:p w14:paraId="5EED47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Harvey 参考门槛；</w:t>
      </w:r>
    </w:p>
    <w:p w14:paraId="39DC7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没有完整回归表支撑的显著性结论；</w:t>
      </w:r>
    </w:p>
    <w:p w14:paraId="161391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“无风险”“显著击败”“确定性收益”等强结论。</w:t>
      </w:r>
    </w:p>
    <w:p w14:paraId="6DEC565A">
      <w:pPr>
        <w:pStyle w:val="2"/>
        <w:keepNext w:val="0"/>
        <w:keepLines w:val="0"/>
        <w:widowControl/>
        <w:suppressLineNumbers w:val="0"/>
      </w:pPr>
      <w:r>
        <w:t>优势是报告不再用无法核验的数字支撑结论。</w:t>
      </w:r>
    </w:p>
    <w:p w14:paraId="147625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图表和文字口径更一致</w:t>
      </w:r>
    </w:p>
    <w:p w14:paraId="2C0F3E11">
      <w:pPr>
        <w:pStyle w:val="2"/>
        <w:keepNext w:val="0"/>
        <w:keepLines w:val="0"/>
        <w:widowControl/>
        <w:suppressLineNumbers w:val="0"/>
      </w:pPr>
      <w:r>
        <w:t>初版图表、正文和指标之间存在口径不一致，例如图中展示一种收益计算方式，正文却使用另一套表述。</w:t>
      </w:r>
    </w:p>
    <w:p w14:paraId="1CBDB5A5">
      <w:pPr>
        <w:pStyle w:val="2"/>
        <w:keepNext w:val="0"/>
        <w:keepLines w:val="0"/>
        <w:widowControl/>
        <w:suppressLineNumbers w:val="0"/>
      </w:pPr>
      <w:r>
        <w:t>这一版统一为：</w:t>
      </w:r>
    </w:p>
    <w:p w14:paraId="3A14CF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策略累计收益；</w:t>
      </w:r>
    </w:p>
    <w:p w14:paraId="28B4AB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年化收益；</w:t>
      </w:r>
    </w:p>
    <w:p w14:paraId="2C64CB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夏普比率；</w:t>
      </w:r>
    </w:p>
    <w:p w14:paraId="4E6F77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最大动态回撤；</w:t>
      </w:r>
    </w:p>
    <w:p w14:paraId="62B6D8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卡玛比率；</w:t>
      </w:r>
    </w:p>
    <w:p w14:paraId="4C7165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与等权组合、ETF、沪深 300 的对照。</w:t>
      </w:r>
    </w:p>
    <w:p w14:paraId="36FBC9F7">
      <w:pPr>
        <w:pStyle w:val="2"/>
        <w:keepNext w:val="0"/>
        <w:keepLines w:val="0"/>
        <w:widowControl/>
        <w:suppressLineNumbers w:val="0"/>
      </w:pPr>
      <w:r>
        <w:t>同时，在图表下方增加限制性说明，避免把样本内结果解释成普遍规律。</w:t>
      </w:r>
    </w:p>
    <w:p w14:paraId="07C3C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对照组更加完整</w:t>
      </w:r>
    </w:p>
    <w:p w14:paraId="7EF62E10">
      <w:pPr>
        <w:pStyle w:val="2"/>
        <w:keepNext w:val="0"/>
        <w:keepLines w:val="0"/>
        <w:widowControl/>
        <w:suppressLineNumbers w:val="0"/>
      </w:pPr>
      <w:r>
        <w:t>初版更偏向展示策略自身收益，缺乏足够参照。</w:t>
      </w:r>
    </w:p>
    <w:p w14:paraId="11F23EF2">
      <w:pPr>
        <w:pStyle w:val="2"/>
        <w:keepNext w:val="0"/>
        <w:keepLines w:val="0"/>
        <w:widowControl/>
        <w:suppressLineNumbers w:val="0"/>
      </w:pPr>
      <w:r>
        <w:t>这一版加入了：</w:t>
      </w:r>
    </w:p>
    <w:p w14:paraId="4D1027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板块股票等权基准；</w:t>
      </w:r>
    </w:p>
    <w:p w14:paraId="7BFABF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对应行业 ETF；</w:t>
      </w:r>
    </w:p>
    <w:p w14:paraId="323F5E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沪深 300 宽基基准；</w:t>
      </w:r>
    </w:p>
    <w:p w14:paraId="30BE7F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策略与多个基准的收益、风险和回撤比较。</w:t>
      </w:r>
    </w:p>
    <w:p w14:paraId="73BCB7BF">
      <w:pPr>
        <w:pStyle w:val="2"/>
        <w:keepNext w:val="0"/>
        <w:keepLines w:val="0"/>
        <w:widowControl/>
        <w:suppressLineNumbers w:val="0"/>
      </w:pPr>
      <w:r>
        <w:t>优势是评委可以判断策略收益究竟来自策略本身，还是仅仅来自板块行情上涨。</w:t>
      </w:r>
    </w:p>
    <w:p w14:paraId="7B29F9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t>策略机制表达更清晰</w:t>
      </w:r>
    </w:p>
    <w:p w14:paraId="5353834D">
      <w:pPr>
        <w:pStyle w:val="2"/>
        <w:keepNext w:val="0"/>
        <w:keepLines w:val="0"/>
        <w:widowControl/>
        <w:suppressLineNumbers w:val="0"/>
      </w:pPr>
      <w:r>
        <w:t>这一版将流程整理为：</w:t>
      </w:r>
    </w:p>
    <w:p w14:paraId="76474DEC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FinRobot 多专家审议 → FinGPT 文档事实抽取 → NALE 资源邻接与成本评分 → KHunter 计量与 Trend Gate 仓位控制</w:t>
      </w:r>
    </w:p>
    <w:p w14:paraId="628133B6">
      <w:pPr>
        <w:pStyle w:val="2"/>
        <w:keepNext w:val="0"/>
        <w:keepLines w:val="0"/>
        <w:widowControl/>
        <w:suppressLineNumbers w:val="0"/>
      </w:pPr>
      <w:r>
        <w:t>同时明确大模型主要负责事实抽取和文档溯源，最终资产定价、评分和仓位由数学规则计算。</w:t>
      </w:r>
    </w:p>
    <w:p w14:paraId="643D9C86">
      <w:pPr>
        <w:pStyle w:val="2"/>
        <w:keepNext w:val="0"/>
        <w:keepLines w:val="0"/>
        <w:widowControl/>
        <w:suppressLineNumbers w:val="0"/>
      </w:pPr>
      <w:r>
        <w:t>优势是减少“让大模型直接预测股价”的不可信印象，突出系统的可解释性和可复现性。</w:t>
      </w:r>
    </w:p>
    <w:p w14:paraId="3F32CE3B">
      <w:pPr>
        <w:rPr>
          <w:rFonts w:ascii="宋体" w:hAnsi="宋体" w:eastAsia="宋体" w:cs="宋体"/>
          <w:sz w:val="24"/>
          <w:szCs w:val="24"/>
        </w:rPr>
      </w:pPr>
    </w:p>
    <w:p w14:paraId="7C5377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还需要注意的是：这版并没有解决全部研究局限。样本区间仍然较短，股票池仍然有限，原始接口和下载时间仍未保存，部分统计结论仍需要完整回归表、样本外验证和更长时间区间支持。因此，这一版更适合表述为“可复核的历史回测研究报告”，不应表述为已经证明具有普遍盈利能力的真实交易业绩报告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(这个交给我们后续项目的沉淀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062773"/>
    <w:multiLevelType w:val="multilevel"/>
    <w:tmpl w:val="BC062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1CB600"/>
    <w:multiLevelType w:val="multilevel"/>
    <w:tmpl w:val="DB1CB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305BC9"/>
    <w:multiLevelType w:val="multilevel"/>
    <w:tmpl w:val="DB305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DFCE12"/>
    <w:multiLevelType w:val="multilevel"/>
    <w:tmpl w:val="19DFC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54DF10"/>
    <w:multiLevelType w:val="multilevel"/>
    <w:tmpl w:val="2F54D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85CAA0A"/>
    <w:multiLevelType w:val="multilevel"/>
    <w:tmpl w:val="585CA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6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2026-08-31T03:48:04Z</dcterms:created>
  <dc:creator>A</dc:creator>
  <cp:lastModifiedBy>Henry.</cp:lastModifiedBy>
  <dcterms:modified xsi:type="dcterms:W3CDTF">2026-08-31T03:50:13Z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eyJoZGlkIjoiMzEwNTM5NzYwMDRjMzkwZTVkZjY2ODkwMGIxNGU0OTUiLCJ1c2VySWQiOiI5ODAzNzMyNjIifQ==</vt:lpwstr>
  </property>
  <property fmtid="{D5CDD505-2E9C-101B-9397-08002B2CF9AE}" pid="4" name="ICV">
    <vt:lpwstr>4A8597E5897F41C5B5906F434E3EDBD6_12</vt:lpwstr>
  </property>
</Properties>
</file>