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E3A8A"/>
          <w:sz w:val="36"/>
        </w:rPr>
        <w:t>GitHub Issue 建议（中文版）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718096"/>
          <w:sz w:val="20"/>
        </w:rPr>
        <w:t>仓库：serenity-chokepoint-investing-enhanced　|　作者：吴宇轩（华南师范大学阿伯丁学院 信息管理与信息系统 二年级）</w:t>
      </w:r>
    </w:p>
    <w:p>
      <w:r>
        <w:rPr>
          <w:rFonts w:ascii="Microsoft YaHei" w:hAnsi="Microsoft YaHei" w:eastAsia="微软雅黑"/>
          <w:b w:val="0"/>
          <w:sz w:val="22"/>
        </w:rPr>
        <w:t>师叔您好！老师让我认真研读这个框架，我花了两天逐字读完了全部 6 篇 ADR、README 和 SKILL.md，并做了两只标的的封箱回测（立新能源 001258、美光科技 MU），有一些发现想分享给您。</w:t>
      </w:r>
    </w:p>
    <w:p>
      <w:r>
        <w:rPr>
          <w:rFonts w:ascii="Microsoft YaHei" w:hAnsi="Microsoft YaHei" w:eastAsia="微软雅黑"/>
          <w:b/>
          <w:color w:val="1E3A8A"/>
          <w:sz w:val="32"/>
        </w:rPr>
        <w:t>A 部分：文档不一致（疑似 v2.0 → v2.1 迭代遗留）</w:t>
      </w:r>
    </w:p>
    <w:p>
      <w:r>
        <w:rPr>
          <w:rFonts w:ascii="Microsoft YaHei" w:hAnsi="Microsoft YaHei" w:eastAsia="微软雅黑"/>
          <w:b/>
          <w:color w:val="2563EB"/>
          <w:sz w:val="26"/>
        </w:rPr>
        <w:t>A1：IR 淘汰阈值 0.5 与 0.3 不一致</w:t>
      </w:r>
    </w:p>
    <w:p>
      <w:pPr>
        <w:ind w:left="480"/>
      </w:pPr>
      <w:r>
        <w:rPr>
          <w:rFonts w:ascii="Microsoft YaHei" w:hAnsi="Microsoft YaHei" w:eastAsia="微软雅黑"/>
          <w:b/>
          <w:sz w:val="22"/>
        </w:rPr>
        <w:t xml:space="preserve">• </w:t>
      </w:r>
      <w:r>
        <w:rPr>
          <w:rFonts w:ascii="Microsoft YaHei" w:hAnsi="Microsoft YaHei" w:eastAsia="微软雅黑"/>
          <w:b/>
          <w:sz w:val="22"/>
        </w:rPr>
        <w:t>位置：</w:t>
      </w:r>
      <w:r>
        <w:rPr>
          <w:rFonts w:ascii="Microsoft YaHei" w:hAnsi="Microsoft YaHei" w:eastAsia="微软雅黑"/>
          <w:b w:val="0"/>
          <w:sz w:val="22"/>
        </w:rPr>
        <w:t>ADR-0001 的硬约束表写的是 IR &lt; 0.5 拒绝；README / SKILL.md（v2.1）已改为 IR &lt; 0.3 拒绝（0.3~0.5 为弱 alpha、仅小仓位）。</w:t>
      </w:r>
    </w:p>
    <w:p>
      <w:pPr>
        <w:ind w:left="480"/>
      </w:pPr>
      <w:r>
        <w:rPr>
          <w:rFonts w:ascii="Microsoft YaHei" w:hAnsi="Microsoft YaHei" w:eastAsia="微软雅黑"/>
          <w:b/>
          <w:sz w:val="22"/>
        </w:rPr>
        <w:t xml:space="preserve">• </w:t>
      </w:r>
      <w:r>
        <w:rPr>
          <w:rFonts w:ascii="Microsoft YaHei" w:hAnsi="Microsoft YaHei" w:eastAsia="微软雅黑"/>
          <w:b/>
          <w:sz w:val="22"/>
        </w:rPr>
        <w:t>建议：</w:t>
      </w:r>
      <w:r>
        <w:rPr>
          <w:rFonts w:ascii="Microsoft YaHei" w:hAnsi="Microsoft YaHei" w:eastAsia="微软雅黑"/>
          <w:b w:val="0"/>
          <w:sz w:val="22"/>
        </w:rPr>
        <w:t>建议在 ADR-0001 增加一段 “v2.1 更新说明”，指向现行 0.3 阈值，避免后来者被两个数字误导。</w:t>
      </w:r>
    </w:p>
    <w:p>
      <w:r>
        <w:rPr>
          <w:rFonts w:ascii="Microsoft YaHei" w:hAnsi="Microsoft YaHei" w:eastAsia="微软雅黑"/>
          <w:b/>
          <w:color w:val="2563EB"/>
          <w:sz w:val="26"/>
        </w:rPr>
        <w:t>A2：仓位调整公式：乘法与加权不一致</w:t>
      </w:r>
    </w:p>
    <w:p>
      <w:pPr>
        <w:ind w:left="480"/>
      </w:pPr>
      <w:r>
        <w:rPr>
          <w:rFonts w:ascii="Microsoft YaHei" w:hAnsi="Microsoft YaHei" w:eastAsia="微软雅黑"/>
          <w:b/>
          <w:sz w:val="22"/>
        </w:rPr>
        <w:t xml:space="preserve">• </w:t>
      </w:r>
      <w:r>
        <w:rPr>
          <w:rFonts w:ascii="Microsoft YaHei" w:hAnsi="Microsoft YaHei" w:eastAsia="微软雅黑"/>
          <w:b/>
          <w:sz w:val="22"/>
        </w:rPr>
        <w:t>位置：</w:t>
      </w:r>
      <w:r>
        <w:rPr>
          <w:rFonts w:ascii="Microsoft YaHei" w:hAnsi="Microsoft YaHei" w:eastAsia="微软雅黑"/>
          <w:b w:val="0"/>
          <w:sz w:val="22"/>
        </w:rPr>
        <w:t>ADR-0006 用的是乘法公式（Base × (1+调整)×…）；v2.1 正文已改为绝对百分点加减，并设硬地板 max(Base×25%, 0.5%)。</w:t>
      </w:r>
    </w:p>
    <w:p>
      <w:pPr>
        <w:ind w:left="480"/>
      </w:pPr>
      <w:r>
        <w:rPr>
          <w:rFonts w:ascii="Microsoft YaHei" w:hAnsi="Microsoft YaHei" w:eastAsia="微软雅黑"/>
          <w:b/>
          <w:sz w:val="22"/>
        </w:rPr>
        <w:t xml:space="preserve">• </w:t>
      </w:r>
      <w:r>
        <w:rPr>
          <w:rFonts w:ascii="Microsoft YaHei" w:hAnsi="Microsoft YaHei" w:eastAsia="微软雅黑"/>
          <w:b/>
          <w:sz w:val="22"/>
        </w:rPr>
        <w:t>建议：</w:t>
      </w:r>
      <w:r>
        <w:rPr>
          <w:rFonts w:ascii="Microsoft YaHei" w:hAnsi="Microsoft YaHei" w:eastAsia="微软雅黑"/>
          <w:b w:val="0"/>
          <w:sz w:val="22"/>
        </w:rPr>
        <w:t>建议在 ADR-0006 补充 v2.1 更新说明，注明乘法公式保留作历史参考。</w:t>
      </w:r>
    </w:p>
    <w:p>
      <w:r>
        <w:rPr>
          <w:rFonts w:ascii="Microsoft YaHei" w:hAnsi="Microsoft YaHei" w:eastAsia="微软雅黑"/>
          <w:b/>
          <w:color w:val="1E3A8A"/>
          <w:sz w:val="32"/>
        </w:rPr>
        <w:t>B 部分：两个基于回测证据的架构改进建议</w:t>
      </w:r>
    </w:p>
    <w:p>
      <w:r>
        <w:rPr>
          <w:rFonts w:ascii="Microsoft YaHei" w:hAnsi="Microsoft YaHei" w:eastAsia="微软雅黑"/>
          <w:b/>
          <w:color w:val="2563EB"/>
          <w:sz w:val="26"/>
        </w:rPr>
        <w:t>B1：赌注类型应数据化分类，而非仅靠 LLM 判断</w:t>
      </w:r>
    </w:p>
    <w:p>
      <w:r>
        <w:rPr>
          <w:rFonts w:ascii="Microsoft YaHei" w:hAnsi="Microsoft YaHei" w:eastAsia="微软雅黑"/>
          <w:b w:val="0"/>
          <w:sz w:val="22"/>
        </w:rPr>
        <w:t>ADR-0006 要求 agent 将标的分为 Super Beta / Catalyst Alpha / Event-Driven，但分类依据是 LLM 定性判断。我用同一套信号系统做了对比回测：</w:t>
      </w:r>
    </w:p>
    <w:p>
      <w:pPr>
        <w:ind w:left="480"/>
      </w:pPr>
      <w:r>
        <w:rPr>
          <w:rFonts w:ascii="Microsoft YaHei" w:hAnsi="Microsoft YaHei" w:eastAsia="微软雅黑"/>
          <w:b w:val="0"/>
          <w:color w:val="4A5568"/>
          <w:sz w:val="19"/>
        </w:rPr>
        <w:t>立新能源 001258（高波动“妖股”）：持有 +85.3%，信号择时 +163.0%（择时大幅胜出）</w:t>
      </w:r>
    </w:p>
    <w:p>
      <w:pPr>
        <w:ind w:left="480"/>
      </w:pPr>
      <w:r>
        <w:rPr>
          <w:rFonts w:ascii="Microsoft YaHei" w:hAnsi="Microsoft YaHei" w:eastAsia="微软雅黑"/>
          <w:b w:val="0"/>
          <w:color w:val="4A5568"/>
          <w:sz w:val="19"/>
        </w:rPr>
        <w:t>美光科技 MU（强趋势牛股）：持有 +423.3%，信号择时 +161.0%（择时大幅跑输）</w:t>
      </w:r>
    </w:p>
    <w:p>
      <w:r>
        <w:rPr>
          <w:rFonts w:ascii="Microsoft YaHei" w:hAnsi="Microsoft YaHei" w:eastAsia="微软雅黑"/>
          <w:b w:val="0"/>
          <w:sz w:val="22"/>
        </w:rPr>
        <w:t>同一套策略，在两只标的上结果完全相反。这说明最优持仓周期与仓位逻辑取决于标的的统计特征（波动率、动量半衰期、收益自相关）。建议增加一个轻量统计分类器（如 20 日波动率 + 动量半衰期 + ATR），用数据判定赌注类型，与 LLM 定性判断互为校验。</w:t>
      </w:r>
    </w:p>
    <w:p>
      <w:r>
        <w:rPr>
          <w:rFonts w:ascii="Microsoft YaHei" w:hAnsi="Microsoft YaHei" w:eastAsia="微软雅黑"/>
          <w:b/>
          <w:color w:val="2563EB"/>
          <w:sz w:val="26"/>
        </w:rPr>
        <w:t>B2：缺少“趋势环境过滤层”（实测最大的盲区）</w:t>
      </w:r>
    </w:p>
    <w:p>
      <w:r>
        <w:rPr>
          <w:rFonts w:ascii="Microsoft YaHei" w:hAnsi="Microsoft YaHei" w:eastAsia="微软雅黑"/>
          <w:b w:val="0"/>
          <w:sz w:val="22"/>
        </w:rPr>
        <w:t>美光科技回测中，集成投票的 1 日方向命中率按市场环境分段：</w:t>
      </w:r>
    </w:p>
    <w:p>
      <w:pPr>
        <w:ind w:left="480"/>
      </w:pPr>
      <w:r>
        <w:rPr>
          <w:rFonts w:ascii="Microsoft YaHei" w:hAnsi="Microsoft YaHei" w:eastAsia="微软雅黑"/>
          <w:b w:val="0"/>
          <w:color w:val="4A5568"/>
          <w:sz w:val="19"/>
        </w:rPr>
        <w:t>上升段：53.7%　|　下降段：45.2%（低于随机！）　|　震荡段：56.8%</w:t>
      </w:r>
    </w:p>
    <w:p>
      <w:r>
        <w:rPr>
          <w:rFonts w:ascii="Microsoft YaHei" w:hAnsi="Microsoft YaHei" w:eastAsia="微软雅黑"/>
          <w:b w:val="0"/>
          <w:sz w:val="22"/>
        </w:rPr>
        <w:t>系统在下跌段系统性误判为看涨。建议增加一道“趋势门”：当标的 20/60 日趋势向下时，抑制或降权看多信号。这是我实测中影响最大的一个改进点。</w:t>
      </w:r>
    </w:p>
    <w:p>
      <w:r>
        <w:rPr>
          <w:rFonts w:ascii="Microsoft YaHei" w:hAnsi="Microsoft YaHei" w:eastAsia="微软雅黑"/>
          <w:b/>
          <w:color w:val="1E3A8A"/>
          <w:sz w:val="32"/>
        </w:rPr>
        <w:t>结尾</w:t>
      </w:r>
    </w:p>
    <w:p>
      <w:r>
        <w:rPr>
          <w:rFonts w:ascii="Microsoft YaHei" w:hAnsi="Microsoft YaHei" w:eastAsia="微软雅黑"/>
          <w:b w:val="0"/>
          <w:sz w:val="22"/>
        </w:rPr>
        <w:t>以上所有回测产物（报告、JSON、脚本）均可提供。如果方便，我也可以把 A1/A2 的文档修复直接做成 Pull Request。感谢师叔的框架带给我的启发！</w:t>
      </w:r>
    </w:p>
    <w:p>
      <w:pPr>
        <w:ind w:firstLine="440"/>
      </w:pPr>
      <w:r>
        <w:rPr>
          <w:rFonts w:ascii="Microsoft YaHei" w:hAnsi="Microsoft YaHei" w:eastAsia="微软雅黑"/>
          <w:b w:val="0"/>
          <w:sz w:val="22"/>
        </w:rPr>
        <w:t>此致敬礼</w:t>
      </w:r>
    </w:p>
    <w:p>
      <w:pPr>
        <w:ind w:firstLine="440"/>
      </w:pPr>
      <w:r>
        <w:rPr>
          <w:rFonts w:ascii="Microsoft YaHei" w:hAnsi="Microsoft YaHei" w:eastAsia="微软雅黑"/>
          <w:b w:val="0"/>
          <w:sz w:val="22"/>
        </w:rPr>
        <w:t>吴宇轩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