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黑体" w:hAnsi="黑体" w:eastAsia="黑体" w:cs="黑体"/>
          <w:b/>
          <w:color w:val="0F172A"/>
          <w:sz w:val="30"/>
        </w:rPr>
        <w:t>中国国际大学生创新大赛（2026）</w:t>
        <w:br/>
      </w:r>
      <w:r>
        <w:rPr>
          <w:rFonts w:ascii="黑体" w:hAnsi="黑体" w:eastAsia="黑体" w:cs="黑体"/>
          <w:b/>
          <w:color w:val="0F172A"/>
          <w:sz w:val="28"/>
        </w:rPr>
        <w:t>产业命题赛道（企业命题组）参赛作品申报表</w:t>
      </w:r>
    </w:p>
    <w:p>
      <w:pPr>
        <w:spacing w:before="20" w:after="50" w:line="264" w:lineRule="auto"/>
        <w:jc w:val="left"/>
      </w:pPr>
      <w:r>
        <w:rPr>
          <w:rFonts w:ascii="Times New Roman" w:hAnsi="Times New Roman" w:eastAsia="楷体" w:cs="Times New Roman"/>
          <w:b w:val="0"/>
          <w:color w:val="475569"/>
          <w:sz w:val="17"/>
        </w:rPr>
        <w:t>注意！本表项目成员信息次序（自上而下）即为项目成员在项目中的重要程度排序，如项目在校赛阶段获奖，则制作证书时按本表次序进行信息录入，原则上不作修改。</w:t>
      </w:r>
    </w:p>
    <w:tbl>
      <w:tblPr>
        <w:tblW w:type="auto" w:w="0"/>
        <w:jc w:val="center"/>
        <w:tblLayout w:type="fixed"/>
        <w:tblLook w:firstColumn="1" w:firstRow="1" w:lastColumn="0" w:lastRow="0" w:noHBand="0" w:noVBand="1" w:val="04A0"/>
        <w:tblBorders>
          <w:top w:val="single" w:sz="8" w:space="0" w:color="334155"/>
          <w:bottom w:val="single" w:sz="8" w:space="0" w:color="334155"/>
          <w:left w:val="single" w:sz="8" w:space="0" w:color="334155"/>
          <w:right w:val="single" w:sz="8" w:space="0" w:color="334155"/>
          <w:insideH w:val="single" w:sz="4" w:space="0" w:color="CBD5E1"/>
          <w:insideV w:val="single" w:sz="4" w:space="0" w:color="CBD5E1"/>
        </w:tblBorders>
      </w:tblPr>
      <w:tblGrid>
        <w:gridCol w:w="1728"/>
        <w:gridCol w:w="1728"/>
        <w:gridCol w:w="1728"/>
        <w:gridCol w:w="1728"/>
        <w:gridCol w:w="1728"/>
        <w:gridCol w:w="1728"/>
      </w:tblGrid>
      <w:tr>
        <w:trPr>
          <w:cantSplit/>
        </w:trPr>
        <w:tc>
          <w:tcPr>
            <w:tcW w:type="dxa" w:w="1440"/>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命题企业</w:t>
            </w:r>
          </w:p>
        </w:tc>
        <w:tc>
          <w:tcPr>
            <w:tcW w:type="dxa" w:w="1440"/>
            <w:gridSpan w:val="5"/>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8"/>
              </w:rPr>
              <w:t>达观数据有限公司 (Datagrand Inc.)</w:t>
            </w:r>
          </w:p>
        </w:tc>
      </w:tr>
      <w:tr>
        <w:trPr>
          <w:cantSplit/>
        </w:trPr>
        <w:tc>
          <w:tcPr>
            <w:tcW w:type="dxa" w:w="1440"/>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命题名称</w:t>
            </w:r>
          </w:p>
        </w:tc>
        <w:tc>
          <w:tcPr>
            <w:tcW w:type="dxa" w:w="1440"/>
            <w:gridSpan w:val="5"/>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8"/>
              </w:rPr>
              <w:t>面向金融量化投研工作全流程的智能体系统 (命题编号: 新工科/01)</w:t>
            </w:r>
          </w:p>
        </w:tc>
      </w:tr>
      <w:tr>
        <w:trPr>
          <w:cantSplit/>
        </w:trPr>
        <w:tc>
          <w:tcPr>
            <w:tcW w:type="dxa" w:w="1440"/>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参赛对策</w:t>
            </w:r>
          </w:p>
          <w:p>
            <w:pPr>
              <w:spacing w:before="24" w:after="24" w:line="269" w:lineRule="auto"/>
              <w:jc w:val="center"/>
            </w:pPr>
            <w:r>
              <w:rPr>
                <w:rFonts w:ascii="Times New Roman" w:hAnsi="Times New Roman" w:eastAsia="黑体" w:cs="Times New Roman"/>
                <w:b/>
                <w:color w:val="0F172A"/>
                <w:sz w:val="18"/>
              </w:rPr>
              <w:t>（项目）名称</w:t>
            </w:r>
          </w:p>
        </w:tc>
        <w:tc>
          <w:tcPr>
            <w:tcW w:type="dxa" w:w="1440"/>
            <w:gridSpan w:val="5"/>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color w:val="0F172A"/>
                <w:sz w:val="18"/>
              </w:rPr>
              <w:t>Rainbow-FinGPT：面向金融量化投研全流程的自主智能体系统</w:t>
            </w:r>
          </w:p>
        </w:tc>
      </w:tr>
      <w:tr>
        <w:trPr>
          <w:cantSplit/>
        </w:trPr>
        <w:tc>
          <w:tcPr>
            <w:tcW w:type="dxa" w:w="1440"/>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参赛组别</w:t>
            </w:r>
          </w:p>
        </w:tc>
        <w:tc>
          <w:tcPr>
            <w:tcW w:type="dxa" w:w="1440"/>
            <w:gridSpan w:val="5"/>
            <w:vAlign w:val="center"/>
            <w:tcMar>
              <w:top w:w="50" w:type="dxa"/>
              <w:bottom w:w="50" w:type="dxa"/>
              <w:left w:w="70" w:type="dxa"/>
              <w:right w:w="70" w:type="dxa"/>
            </w:tcMar>
          </w:tcPr>
          <w:p>
            <w:pPr>
              <w:spacing w:before="24" w:after="24" w:line="269" w:lineRule="auto"/>
              <w:jc w:val="left"/>
            </w:pPr>
            <w:r/>
            <w:r>
              <w:rPr>
                <w:rFonts w:ascii="Segoe UI Symbol" w:hAnsi="Segoe UI Symbol" w:eastAsia="宋体" w:cs="Segoe UI Symbol"/>
                <w:b w:val="0"/>
                <w:color w:val="0F172A"/>
                <w:sz w:val="17"/>
              </w:rPr>
              <w:t>☑</w:t>
            </w:r>
            <w:r>
              <w:rPr>
                <w:rFonts w:ascii="Times New Roman" w:hAnsi="Times New Roman" w:eastAsia="宋体" w:cs="Times New Roman"/>
                <w:b w:val="0"/>
                <w:color w:val="0F172A"/>
                <w:sz w:val="17"/>
              </w:rPr>
              <w:t xml:space="preserve"> 产教协同创新组    </w:t>
            </w:r>
            <w:r>
              <w:rPr>
                <w:rFonts w:ascii="Segoe UI Symbol" w:hAnsi="Segoe UI Symbol" w:eastAsia="宋体" w:cs="Segoe UI Symbol"/>
                <w:b w:val="0"/>
                <w:color w:val="0F172A"/>
                <w:sz w:val="17"/>
              </w:rPr>
              <w:t>□</w:t>
            </w:r>
            <w:r>
              <w:rPr>
                <w:rFonts w:ascii="Times New Roman" w:hAnsi="Times New Roman" w:eastAsia="宋体" w:cs="Times New Roman"/>
                <w:b w:val="0"/>
                <w:color w:val="0F172A"/>
                <w:sz w:val="17"/>
              </w:rPr>
              <w:t xml:space="preserve"> 区域特色产业组    </w:t>
            </w:r>
            <w:r>
              <w:rPr>
                <w:rFonts w:ascii="Segoe UI Symbol" w:hAnsi="Segoe UI Symbol" w:eastAsia="宋体" w:cs="Segoe UI Symbol"/>
                <w:b w:val="0"/>
                <w:color w:val="0F172A"/>
                <w:sz w:val="17"/>
              </w:rPr>
              <w:t>□</w:t>
            </w:r>
            <w:r>
              <w:rPr>
                <w:rFonts w:ascii="Times New Roman" w:hAnsi="Times New Roman" w:eastAsia="宋体" w:cs="Times New Roman"/>
                <w:b w:val="0"/>
                <w:color w:val="0F172A"/>
                <w:sz w:val="17"/>
              </w:rPr>
              <w:t xml:space="preserve"> 国产操作系统软件组</w:t>
            </w:r>
          </w:p>
        </w:tc>
      </w:tr>
      <w:tr>
        <w:trPr>
          <w:cantSplit/>
        </w:trPr>
        <w:tc>
          <w:tcPr>
            <w:tcW w:type="dxa" w:w="1440"/>
            <w:vMerge w:val="restart"/>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项目团队</w:t>
            </w:r>
          </w:p>
          <w:p>
            <w:pPr>
              <w:spacing w:before="24" w:after="24" w:line="269" w:lineRule="auto"/>
              <w:jc w:val="center"/>
            </w:pPr>
            <w:r>
              <w:rPr>
                <w:rFonts w:ascii="Times New Roman" w:hAnsi="Times New Roman" w:eastAsia="黑体" w:cs="Times New Roman"/>
                <w:b/>
                <w:color w:val="0F172A"/>
                <w:sz w:val="18"/>
              </w:rPr>
              <w:t>负责人及</w:t>
            </w:r>
          </w:p>
          <w:p>
            <w:pPr>
              <w:spacing w:before="24" w:after="24" w:line="269" w:lineRule="auto"/>
              <w:jc w:val="center"/>
            </w:pPr>
            <w:r>
              <w:rPr>
                <w:rFonts w:ascii="Times New Roman" w:hAnsi="Times New Roman" w:eastAsia="黑体" w:cs="Times New Roman"/>
                <w:b/>
                <w:color w:val="0F172A"/>
                <w:sz w:val="18"/>
              </w:rPr>
              <w:t>联系方式</w:t>
            </w:r>
          </w:p>
        </w:tc>
        <w:tc>
          <w:tcPr>
            <w:tcW w:type="dxa" w:w="115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项目负责人</w:t>
            </w:r>
          </w:p>
        </w:tc>
        <w:tc>
          <w:tcPr>
            <w:tcW w:type="dxa" w:w="3024"/>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7"/>
              </w:rPr>
              <w:t>吴宇轩 (学号: 20253803068)</w:t>
            </w:r>
          </w:p>
        </w:tc>
        <w:tc>
          <w:tcPr>
            <w:tcW w:type="dxa" w:w="1800"/>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所在学院</w:t>
            </w:r>
          </w:p>
        </w:tc>
        <w:tc>
          <w:tcPr>
            <w:tcW w:type="dxa" w:w="1440"/>
            <w:gridSpan w:val="2"/>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7"/>
              </w:rPr>
              <w:t>华南师范大学 阿伯丁数据科学与人工智能学院</w:t>
            </w:r>
          </w:p>
        </w:tc>
      </w:tr>
      <w:tr>
        <w:trPr>
          <w:cantSplit/>
        </w:trPr>
        <w:tc>
          <w:tcPr>
            <w:tcW w:type="dxa" w:w="1728"/>
            <w:vMerge/>
          </w:tcPr>
          <w:p/>
        </w:tc>
        <w:tc>
          <w:tcPr>
            <w:tcW w:type="dxa" w:w="115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学历层次</w:t>
            </w:r>
          </w:p>
        </w:tc>
        <w:tc>
          <w:tcPr>
            <w:tcW w:type="dxa" w:w="3024"/>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7"/>
              </w:rPr>
              <w:t>2025级 本科生</w:t>
            </w:r>
          </w:p>
        </w:tc>
        <w:tc>
          <w:tcPr>
            <w:tcW w:type="dxa" w:w="1800"/>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就读专业</w:t>
            </w:r>
          </w:p>
        </w:tc>
        <w:tc>
          <w:tcPr>
            <w:tcW w:type="dxa" w:w="1440"/>
            <w:gridSpan w:val="2"/>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7"/>
              </w:rPr>
              <w:t>信息管理与信息系统 (中外联合办学)</w:t>
            </w:r>
          </w:p>
        </w:tc>
      </w:tr>
      <w:tr>
        <w:trPr>
          <w:cantSplit/>
        </w:trPr>
        <w:tc>
          <w:tcPr>
            <w:tcW w:type="dxa" w:w="1728"/>
            <w:vMerge/>
          </w:tcPr>
          <w:p/>
        </w:tc>
        <w:tc>
          <w:tcPr>
            <w:tcW w:type="dxa" w:w="115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联系方式</w:t>
            </w:r>
          </w:p>
        </w:tc>
        <w:tc>
          <w:tcPr>
            <w:tcW w:type="dxa" w:w="1440"/>
            <w:gridSpan w:val="4"/>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7"/>
              </w:rPr>
              <w:t>手机: 19098047316  |  邮箱: 85871865@qq.com</w:t>
            </w:r>
          </w:p>
          <w:p>
            <w:pPr>
              <w:spacing w:before="24" w:after="24" w:line="269" w:lineRule="auto"/>
              <w:jc w:val="left"/>
            </w:pPr>
            <w:r>
              <w:rPr>
                <w:rFonts w:ascii="Times New Roman" w:hAnsi="Times New Roman" w:eastAsia="宋体" w:cs="Times New Roman"/>
                <w:b w:val="0"/>
                <w:color w:val="0F172A"/>
                <w:sz w:val="17"/>
              </w:rPr>
              <w:t>在线演示: https://yuxuanwucn.github.io/stock-dashboard/</w:t>
            </w:r>
          </w:p>
        </w:tc>
      </w:tr>
      <w:tr>
        <w:trPr>
          <w:cantSplit/>
        </w:trPr>
        <w:tc>
          <w:tcPr>
            <w:tcW w:type="dxa" w:w="1440"/>
            <w:vMerge w:val="restart"/>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指导教师</w:t>
            </w:r>
          </w:p>
          <w:p>
            <w:pPr>
              <w:spacing w:before="24" w:after="24" w:line="269" w:lineRule="auto"/>
              <w:jc w:val="center"/>
            </w:pPr>
            <w:r>
              <w:rPr>
                <w:rFonts w:ascii="Times New Roman" w:hAnsi="Times New Roman" w:eastAsia="黑体" w:cs="Times New Roman"/>
                <w:b/>
                <w:color w:val="0F172A"/>
                <w:sz w:val="18"/>
              </w:rPr>
              <w:t>（5人以内）</w:t>
            </w:r>
          </w:p>
        </w:tc>
        <w:tc>
          <w:tcPr>
            <w:tcW w:type="dxa" w:w="115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姓名</w:t>
            </w:r>
          </w:p>
        </w:tc>
        <w:tc>
          <w:tcPr>
            <w:tcW w:type="dxa" w:w="1800"/>
            <w:gridSpan w:val="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所在学院 / 单位</w:t>
            </w:r>
          </w:p>
        </w:tc>
        <w:tc>
          <w:tcPr>
            <w:tcW w:type="dxa" w:w="1440"/>
            <w:gridSpan w:val="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职务 / 职称 / 联系方式</w:t>
            </w:r>
          </w:p>
        </w:tc>
      </w:tr>
      <w:tr>
        <w:trPr>
          <w:cantSplit/>
        </w:trPr>
        <w:tc>
          <w:tcPr>
            <w:tcW w:type="dxa" w:w="1728"/>
            <w:vMerge/>
          </w:tcPr>
          <w:p/>
        </w:tc>
        <w:tc>
          <w:tcPr>
            <w:tcW w:type="dxa" w:w="1152"/>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color w:val="0F172A"/>
                <w:sz w:val="17"/>
              </w:rPr>
              <w:t>连洪泉 老师</w:t>
            </w:r>
          </w:p>
        </w:tc>
        <w:tc>
          <w:tcPr>
            <w:tcW w:type="dxa" w:w="1800"/>
            <w:gridSpan w:val="2"/>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7"/>
              </w:rPr>
              <w:t>华南师范大学 经济与管理学院 / 科技商学院</w:t>
            </w:r>
          </w:p>
        </w:tc>
        <w:tc>
          <w:tcPr>
            <w:tcW w:type="dxa" w:w="1440"/>
            <w:gridSpan w:val="2"/>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7"/>
              </w:rPr>
              <w:t>副教授 / 科技金融与经济学</w:t>
            </w:r>
          </w:p>
          <w:p>
            <w:pPr>
              <w:spacing w:before="24" w:after="24" w:line="269" w:lineRule="auto"/>
              <w:jc w:val="left"/>
            </w:pPr>
            <w:r>
              <w:rPr>
                <w:rFonts w:ascii="Times New Roman" w:hAnsi="Times New Roman" w:eastAsia="宋体" w:cs="Times New Roman"/>
                <w:b w:val="0"/>
                <w:color w:val="0F172A"/>
                <w:sz w:val="17"/>
              </w:rPr>
              <w:t>电话: 15626278766</w:t>
            </w:r>
          </w:p>
        </w:tc>
      </w:tr>
      <w:tr>
        <w:trPr>
          <w:cantSplit/>
        </w:trPr>
        <w:tc>
          <w:tcPr>
            <w:tcW w:type="dxa" w:w="1728"/>
            <w:vMerge/>
          </w:tcPr>
          <w:p/>
        </w:tc>
        <w:tc>
          <w:tcPr>
            <w:tcW w:type="dxa" w:w="1152"/>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color w:val="0F172A"/>
                <w:sz w:val="17"/>
              </w:rPr>
              <w:t>企业导师组</w:t>
            </w:r>
          </w:p>
        </w:tc>
        <w:tc>
          <w:tcPr>
            <w:tcW w:type="dxa" w:w="1800"/>
            <w:gridSpan w:val="2"/>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7"/>
              </w:rPr>
              <w:t>达观数据有限公司 (Datagrand Inc.)</w:t>
            </w:r>
          </w:p>
        </w:tc>
        <w:tc>
          <w:tcPr>
            <w:tcW w:type="dxa" w:w="1440"/>
            <w:gridSpan w:val="2"/>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7"/>
              </w:rPr>
              <w:t>技术专家 / 金融大模型研发总监</w:t>
            </w:r>
          </w:p>
        </w:tc>
      </w:tr>
      <w:tr>
        <w:trPr>
          <w:cantSplit/>
        </w:trPr>
        <w:tc>
          <w:tcPr>
            <w:tcW w:type="dxa" w:w="1440"/>
            <w:vMerge w:val="restart"/>
            <w:shd w:fill="F1F5F9"/>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项目团队</w:t>
            </w:r>
          </w:p>
          <w:p>
            <w:pPr>
              <w:spacing w:before="24" w:after="24" w:line="269" w:lineRule="auto"/>
              <w:jc w:val="center"/>
            </w:pPr>
            <w:r>
              <w:rPr>
                <w:rFonts w:ascii="Times New Roman" w:hAnsi="Times New Roman" w:eastAsia="黑体" w:cs="Times New Roman"/>
                <w:b/>
                <w:color w:val="0F172A"/>
                <w:sz w:val="18"/>
              </w:rPr>
              <w:t>全员信息</w:t>
            </w:r>
          </w:p>
          <w:p>
            <w:pPr>
              <w:spacing w:before="24" w:after="24" w:line="269" w:lineRule="auto"/>
              <w:jc w:val="center"/>
            </w:pPr>
            <w:r>
              <w:rPr>
                <w:rFonts w:ascii="Times New Roman" w:hAnsi="Times New Roman" w:eastAsia="黑体" w:cs="Times New Roman"/>
                <w:b/>
                <w:color w:val="0F172A"/>
                <w:sz w:val="18"/>
              </w:rPr>
              <w:t>(3-15人)</w:t>
            </w:r>
          </w:p>
          <w:p>
            <w:pPr>
              <w:spacing w:before="24" w:after="24" w:line="269" w:lineRule="auto"/>
              <w:jc w:val="center"/>
            </w:pPr>
            <w:r>
              <w:rPr>
                <w:rFonts w:ascii="Times New Roman" w:hAnsi="Times New Roman" w:eastAsia="黑体" w:cs="Times New Roman"/>
                <w:b/>
                <w:color w:val="0F172A"/>
                <w:sz w:val="18"/>
              </w:rPr>
              <w:t>【跨校协同】</w:t>
            </w:r>
          </w:p>
        </w:tc>
        <w:tc>
          <w:tcPr>
            <w:tcW w:type="dxa" w:w="1152"/>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成员姓名</w:t>
            </w:r>
          </w:p>
        </w:tc>
        <w:tc>
          <w:tcPr>
            <w:tcW w:type="dxa" w:w="3024"/>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团队职务与核心分工</w:t>
            </w:r>
          </w:p>
        </w:tc>
        <w:tc>
          <w:tcPr>
            <w:tcW w:type="dxa" w:w="1800"/>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所在院所及学历</w:t>
            </w:r>
          </w:p>
        </w:tc>
        <w:tc>
          <w:tcPr>
            <w:tcW w:type="dxa" w:w="1224"/>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年级及专业</w:t>
            </w:r>
          </w:p>
        </w:tc>
        <w:tc>
          <w:tcPr>
            <w:tcW w:type="dxa" w:w="1440"/>
            <w:shd w:fill="F8FAFC"/>
            <w:vAlign w:val="center"/>
            <w:tcMar>
              <w:top w:w="50" w:type="dxa"/>
              <w:bottom w:w="5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学号</w:t>
            </w:r>
          </w:p>
        </w:tc>
      </w:tr>
      <w:tr>
        <w:trPr>
          <w:cantSplit/>
        </w:trPr>
        <w:tc>
          <w:tcPr>
            <w:tcW w:type="dxa" w:w="1728"/>
            <w:vMerge/>
          </w:tcPr>
          <w:p/>
        </w:tc>
        <w:tc>
          <w:tcPr>
            <w:tcW w:type="dxa" w:w="1152"/>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color w:val="0F172A"/>
                <w:sz w:val="17"/>
              </w:rPr>
              <w:t>吴宇轩</w:t>
            </w:r>
          </w:p>
        </w:tc>
        <w:tc>
          <w:tcPr>
            <w:tcW w:type="dxa" w:w="3024"/>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6"/>
              </w:rPr>
              <w:t>项目负责人 (系统总体架构 / 资产定价与风控总监 / 存储实证)</w:t>
            </w:r>
          </w:p>
        </w:tc>
        <w:tc>
          <w:tcPr>
            <w:tcW w:type="dxa" w:w="1800"/>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6"/>
              </w:rPr>
              <w:t>华南师大阿伯丁学院 本科</w:t>
            </w:r>
          </w:p>
        </w:tc>
        <w:tc>
          <w:tcPr>
            <w:tcW w:type="dxa" w:w="1224"/>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val="0"/>
                <w:color w:val="0F172A"/>
                <w:sz w:val="16"/>
              </w:rPr>
              <w:t>2025级信管</w:t>
            </w:r>
          </w:p>
        </w:tc>
        <w:tc>
          <w:tcPr>
            <w:tcW w:type="dxa" w:w="1440"/>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val="0"/>
                <w:color w:val="0F172A"/>
                <w:sz w:val="16"/>
              </w:rPr>
              <w:t>20253803068</w:t>
            </w:r>
          </w:p>
        </w:tc>
      </w:tr>
      <w:tr>
        <w:trPr>
          <w:cantSplit/>
        </w:trPr>
        <w:tc>
          <w:tcPr>
            <w:tcW w:type="dxa" w:w="1728"/>
            <w:vMerge/>
          </w:tcPr>
          <w:p/>
        </w:tc>
        <w:tc>
          <w:tcPr>
            <w:tcW w:type="dxa" w:w="1152"/>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color w:val="0F172A"/>
                <w:sz w:val="17"/>
              </w:rPr>
              <w:t>阮奕霖</w:t>
            </w:r>
          </w:p>
        </w:tc>
        <w:tc>
          <w:tcPr>
            <w:tcW w:type="dxa" w:w="3024"/>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6"/>
              </w:rPr>
              <w:t>算法研发总监 (跨校技术负责人 / 多Agent博弈与状态机校准)</w:t>
            </w:r>
          </w:p>
        </w:tc>
        <w:tc>
          <w:tcPr>
            <w:tcW w:type="dxa" w:w="1800"/>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6"/>
              </w:rPr>
              <w:t>中山大学智工学院 本科</w:t>
            </w:r>
          </w:p>
        </w:tc>
        <w:tc>
          <w:tcPr>
            <w:tcW w:type="dxa" w:w="1224"/>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val="0"/>
                <w:color w:val="0F172A"/>
                <w:sz w:val="16"/>
              </w:rPr>
              <w:t>2025级智科</w:t>
            </w:r>
          </w:p>
        </w:tc>
        <w:tc>
          <w:tcPr>
            <w:tcW w:type="dxa" w:w="1440"/>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val="0"/>
                <w:color w:val="0F172A"/>
                <w:sz w:val="16"/>
              </w:rPr>
              <w:t>25361136</w:t>
            </w:r>
          </w:p>
        </w:tc>
      </w:tr>
      <w:tr>
        <w:trPr>
          <w:cantSplit/>
        </w:trPr>
        <w:tc>
          <w:tcPr>
            <w:tcW w:type="dxa" w:w="1728"/>
            <w:vMerge/>
          </w:tcPr>
          <w:p/>
        </w:tc>
        <w:tc>
          <w:tcPr>
            <w:tcW w:type="dxa" w:w="1152"/>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color w:val="0F172A"/>
                <w:sz w:val="17"/>
              </w:rPr>
              <w:t>孟格漫</w:t>
            </w:r>
          </w:p>
        </w:tc>
        <w:tc>
          <w:tcPr>
            <w:tcW w:type="dxa" w:w="3024"/>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6"/>
              </w:rPr>
              <w:t>数据工程总监 (知识抽取 / SCNU-RAG 事实锚点 / 研报解析)</w:t>
            </w:r>
          </w:p>
        </w:tc>
        <w:tc>
          <w:tcPr>
            <w:tcW w:type="dxa" w:w="1800"/>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6"/>
              </w:rPr>
              <w:t>华南师大阿伯丁学院 本科</w:t>
            </w:r>
          </w:p>
        </w:tc>
        <w:tc>
          <w:tcPr>
            <w:tcW w:type="dxa" w:w="1224"/>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val="0"/>
                <w:color w:val="0F172A"/>
                <w:sz w:val="16"/>
              </w:rPr>
              <w:t>2025级信管</w:t>
            </w:r>
          </w:p>
        </w:tc>
        <w:tc>
          <w:tcPr>
            <w:tcW w:type="dxa" w:w="1440"/>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val="0"/>
                <w:color w:val="0F172A"/>
                <w:sz w:val="16"/>
              </w:rPr>
              <w:t>20253803070</w:t>
            </w:r>
          </w:p>
        </w:tc>
      </w:tr>
      <w:tr>
        <w:trPr>
          <w:cantSplit/>
        </w:trPr>
        <w:tc>
          <w:tcPr>
            <w:tcW w:type="dxa" w:w="1728"/>
            <w:vMerge/>
          </w:tcPr>
          <w:p/>
        </w:tc>
        <w:tc>
          <w:tcPr>
            <w:tcW w:type="dxa" w:w="1152"/>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color w:val="0F172A"/>
                <w:sz w:val="17"/>
              </w:rPr>
              <w:t>江昊</w:t>
            </w:r>
          </w:p>
        </w:tc>
        <w:tc>
          <w:tcPr>
            <w:tcW w:type="dxa" w:w="3024"/>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6"/>
              </w:rPr>
              <w:t>量化回测总监 (风控工程 / 黄金与绿电跨板块实证检验)</w:t>
            </w:r>
          </w:p>
        </w:tc>
        <w:tc>
          <w:tcPr>
            <w:tcW w:type="dxa" w:w="1800"/>
            <w:vAlign w:val="center"/>
            <w:tcMar>
              <w:top w:w="50" w:type="dxa"/>
              <w:bottom w:w="50" w:type="dxa"/>
              <w:left w:w="70" w:type="dxa"/>
              <w:right w:w="70" w:type="dxa"/>
            </w:tcMar>
          </w:tcPr>
          <w:p>
            <w:pPr>
              <w:spacing w:before="24" w:after="24" w:line="269" w:lineRule="auto"/>
              <w:jc w:val="left"/>
            </w:pPr>
            <w:r/>
            <w:r>
              <w:rPr>
                <w:rFonts w:ascii="Times New Roman" w:hAnsi="Times New Roman" w:eastAsia="宋体" w:cs="Times New Roman"/>
                <w:b w:val="0"/>
                <w:color w:val="0F172A"/>
                <w:sz w:val="16"/>
              </w:rPr>
              <w:t>华南师大阿伯丁学院 本科</w:t>
            </w:r>
          </w:p>
        </w:tc>
        <w:tc>
          <w:tcPr>
            <w:tcW w:type="dxa" w:w="1224"/>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val="0"/>
                <w:color w:val="0F172A"/>
                <w:sz w:val="16"/>
              </w:rPr>
              <w:t>2025级信管</w:t>
            </w:r>
          </w:p>
        </w:tc>
        <w:tc>
          <w:tcPr>
            <w:tcW w:type="dxa" w:w="1440"/>
            <w:vAlign w:val="center"/>
            <w:tcMar>
              <w:top w:w="50" w:type="dxa"/>
              <w:bottom w:w="50" w:type="dxa"/>
              <w:left w:w="70" w:type="dxa"/>
              <w:right w:w="70" w:type="dxa"/>
            </w:tcMar>
          </w:tcPr>
          <w:p>
            <w:pPr>
              <w:spacing w:before="24" w:after="24" w:line="269" w:lineRule="auto"/>
              <w:jc w:val="center"/>
            </w:pPr>
            <w:r/>
            <w:r>
              <w:rPr>
                <w:rFonts w:ascii="Times New Roman" w:hAnsi="Times New Roman" w:eastAsia="宋体" w:cs="Times New Roman"/>
                <w:b w:val="0"/>
                <w:color w:val="0F172A"/>
                <w:sz w:val="16"/>
              </w:rPr>
              <w:t>20253803022</w:t>
            </w:r>
          </w:p>
        </w:tc>
      </w:tr>
    </w:tbl>
    <w:p>
      <w:r>
        <w:br w:type="page"/>
      </w:r>
    </w:p>
    <w:tbl>
      <w:tblPr>
        <w:tblW w:type="auto" w:w="0"/>
        <w:jc w:val="center"/>
        <w:tblLayout w:type="fixed"/>
        <w:tblLook w:firstColumn="1" w:firstRow="1" w:lastColumn="0" w:lastRow="0" w:noHBand="0" w:noVBand="1" w:val="04A0"/>
        <w:tblBorders>
          <w:top w:val="single" w:sz="8" w:space="0" w:color="334155"/>
          <w:bottom w:val="single" w:sz="8" w:space="0" w:color="334155"/>
          <w:left w:val="single" w:sz="8" w:space="0" w:color="334155"/>
          <w:right w:val="single" w:sz="8" w:space="0" w:color="334155"/>
          <w:insideH w:val="single" w:sz="4" w:space="0" w:color="CBD5E1"/>
          <w:insideV w:val="single" w:sz="4" w:space="0" w:color="CBD5E1"/>
        </w:tblBorders>
      </w:tblPr>
      <w:tblGrid>
        <w:gridCol w:w="5184"/>
        <w:gridCol w:w="5184"/>
      </w:tblGrid>
      <w:tr>
        <w:trPr>
          <w:cantSplit/>
        </w:trPr>
        <w:tc>
          <w:tcPr>
            <w:tcW w:type="dxa" w:w="1800"/>
            <w:shd w:fill="F1F5F9"/>
            <w:vAlign w:val="center"/>
            <w:tcMar>
              <w:top w:w="70" w:type="dxa"/>
              <w:bottom w:w="7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命题分析</w:t>
            </w:r>
          </w:p>
          <w:p>
            <w:pPr>
              <w:spacing w:before="24" w:after="24" w:line="269" w:lineRule="auto"/>
              <w:jc w:val="center"/>
            </w:pPr>
            <w:r>
              <w:rPr>
                <w:rFonts w:ascii="Times New Roman" w:hAnsi="Times New Roman" w:eastAsia="黑体" w:cs="Times New Roman"/>
                <w:b/>
                <w:color w:val="0F172A"/>
                <w:sz w:val="18"/>
              </w:rPr>
              <w:t>（300字以内）</w:t>
            </w:r>
          </w:p>
        </w:tc>
        <w:tc>
          <w:tcPr>
            <w:tcW w:type="dxa" w:w="8280"/>
            <w:vAlign w:val="center"/>
            <w:tcMar>
              <w:top w:w="70" w:type="dxa"/>
              <w:bottom w:w="70" w:type="dxa"/>
              <w:left w:w="70" w:type="dxa"/>
              <w:right w:w="70" w:type="dxa"/>
            </w:tcMar>
          </w:tcPr>
          <w:p>
            <w:pPr>
              <w:spacing w:before="24" w:after="24" w:line="288" w:lineRule="auto"/>
              <w:jc w:val="left"/>
            </w:pPr>
            <w:r/>
            <w:r>
              <w:rPr>
                <w:rFonts w:ascii="Times New Roman" w:hAnsi="Times New Roman" w:eastAsia="宋体" w:cs="Times New Roman"/>
                <w:b w:val="0"/>
                <w:color w:val="0F172A"/>
                <w:sz w:val="18"/>
              </w:rPr>
              <w:t>针对金融量化投研中初级研究员人力投入大、研报复现周期长（4-20h/篇）、通用大模型存在严重数值幻觉与前视未来函数泄漏等行业痛点，本项目针对达观数据产业命题，首创【FinRobot多专家审议 -&gt; FinGPT领域后训练 -&gt; NALE资源图谱 -&gt; KHunter计量模拟器】四位一体全流程技术链。</w:t>
            </w:r>
          </w:p>
          <w:p>
            <w:pPr>
              <w:spacing w:before="24" w:after="24" w:line="288" w:lineRule="auto"/>
              <w:jc w:val="left"/>
            </w:pPr>
            <w:r>
              <w:rPr>
                <w:rFonts w:ascii="Times New Roman" w:hAnsi="Times New Roman" w:eastAsia="宋体" w:cs="Times New Roman"/>
                <w:b w:val="0"/>
                <w:color w:val="0F172A"/>
                <w:sz w:val="18"/>
              </w:rPr>
              <w:t>系统在存储超级周期、黄金事件驱动与绿电公用事业三大极端板块中完成样本外物理隔离拟真交易实测，全方位击败对应金融行业 ETF，回撤实现腰斩压制，调仓摩擦仅 0.15%（免除公募 1.5%~2% 管理费）。实测研报提取准确率 92.4%，代码运行率 98.9%，端到端投研耗时缩短 85% 以上，全面超额达成达观数据 10 项考核指标。</w:t>
            </w:r>
          </w:p>
        </w:tc>
      </w:tr>
      <w:tr>
        <w:trPr>
          <w:cantSplit/>
        </w:trPr>
        <w:tc>
          <w:tcPr>
            <w:tcW w:type="dxa" w:w="1800"/>
            <w:shd w:fill="F1F5F9"/>
            <w:vAlign w:val="center"/>
            <w:tcMar>
              <w:top w:w="70" w:type="dxa"/>
              <w:bottom w:w="7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对策简介</w:t>
            </w:r>
          </w:p>
          <w:p>
            <w:pPr>
              <w:spacing w:before="24" w:after="24" w:line="269" w:lineRule="auto"/>
              <w:jc w:val="center"/>
            </w:pPr>
            <w:r>
              <w:rPr>
                <w:rFonts w:ascii="Times New Roman" w:hAnsi="Times New Roman" w:eastAsia="黑体" w:cs="Times New Roman"/>
                <w:b/>
                <w:color w:val="0F172A"/>
                <w:sz w:val="18"/>
              </w:rPr>
              <w:t>（200字以内）</w:t>
            </w:r>
          </w:p>
        </w:tc>
        <w:tc>
          <w:tcPr>
            <w:tcW w:type="dxa" w:w="8280"/>
            <w:vAlign w:val="center"/>
            <w:tcMar>
              <w:top w:w="70" w:type="dxa"/>
              <w:bottom w:w="70" w:type="dxa"/>
              <w:left w:w="70" w:type="dxa"/>
              <w:right w:w="70" w:type="dxa"/>
            </w:tcMar>
          </w:tcPr>
          <w:p>
            <w:pPr>
              <w:spacing w:before="24" w:after="24" w:line="288" w:lineRule="auto"/>
              <w:jc w:val="left"/>
            </w:pPr>
            <w:r/>
            <w:r>
              <w:rPr>
                <w:rFonts w:ascii="Times New Roman" w:hAnsi="Times New Roman" w:eastAsia="宋体" w:cs="Times New Roman"/>
                <w:b w:val="0"/>
                <w:color w:val="0F172A"/>
                <w:sz w:val="18"/>
              </w:rPr>
              <w:t>本项目采用四位一体自主决策闭环解决方案：</w:t>
            </w:r>
          </w:p>
          <w:p>
            <w:pPr>
              <w:spacing w:before="24" w:after="24" w:line="288" w:lineRule="auto"/>
              <w:jc w:val="left"/>
            </w:pPr>
            <w:r>
              <w:rPr>
                <w:rFonts w:ascii="Segoe UI Symbol" w:hAnsi="Segoe UI Symbol" w:eastAsia="宋体" w:cs="Segoe UI Symbol"/>
                <w:b w:val="0"/>
                <w:color w:val="0F172A"/>
                <w:sz w:val="18"/>
              </w:rPr>
              <w:t>①</w:t>
            </w:r>
            <w:r>
              <w:rPr>
                <w:rFonts w:ascii="Times New Roman" w:hAnsi="Times New Roman" w:eastAsia="宋体" w:cs="Times New Roman"/>
                <w:b w:val="0"/>
                <w:color w:val="0F172A"/>
                <w:sz w:val="18"/>
              </w:rPr>
              <w:t xml:space="preserve"> FinRobot 多专家博弈审议：宏观+行业+风控多角色动态辩论，剔除情绪偏误；</w:t>
            </w:r>
          </w:p>
          <w:p>
            <w:pPr>
              <w:spacing w:before="24" w:after="24" w:line="288" w:lineRule="auto"/>
              <w:jc w:val="left"/>
            </w:pPr>
            <w:r>
              <w:rPr>
                <w:rFonts w:ascii="Segoe UI Symbol" w:hAnsi="Segoe UI Symbol" w:eastAsia="宋体" w:cs="Segoe UI Symbol"/>
                <w:b w:val="0"/>
                <w:color w:val="0F172A"/>
                <w:sz w:val="18"/>
              </w:rPr>
              <w:t>②</w:t>
            </w:r>
            <w:r>
              <w:rPr>
                <w:rFonts w:ascii="Times New Roman" w:hAnsi="Times New Roman" w:eastAsia="宋体" w:cs="Times New Roman"/>
                <w:b w:val="0"/>
                <w:color w:val="0F172A"/>
                <w:sz w:val="18"/>
              </w:rPr>
              <w:t xml:space="preserve"> FinGPT 领域后训练：结合 SCNU-RAG 抽取带坐标事实三元组，拒绝臆造；</w:t>
            </w:r>
          </w:p>
          <w:p>
            <w:pPr>
              <w:spacing w:before="24" w:after="24" w:line="288" w:lineRule="auto"/>
              <w:jc w:val="left"/>
            </w:pPr>
            <w:r>
              <w:rPr>
                <w:rFonts w:ascii="Segoe UI Symbol" w:hAnsi="Segoe UI Symbol" w:eastAsia="宋体" w:cs="Segoe UI Symbol"/>
                <w:b w:val="0"/>
                <w:color w:val="0F172A"/>
                <w:sz w:val="18"/>
              </w:rPr>
              <w:t>③</w:t>
            </w:r>
            <w:r>
              <w:rPr>
                <w:rFonts w:ascii="Times New Roman" w:hAnsi="Times New Roman" w:eastAsia="宋体" w:cs="Times New Roman"/>
                <w:b w:val="0"/>
                <w:color w:val="0F172A"/>
                <w:sz w:val="18"/>
              </w:rPr>
              <w:t xml:space="preserve"> NALE 产业与资源网络拓扑传导：领先卖方研报 5 日捕捉上游调价，剥离稳健特质 Alpha；</w:t>
            </w:r>
          </w:p>
          <w:p>
            <w:pPr>
              <w:spacing w:before="24" w:after="24" w:line="288" w:lineRule="auto"/>
              <w:jc w:val="left"/>
            </w:pPr>
            <w:r>
              <w:rPr>
                <w:rFonts w:ascii="Segoe UI Symbol" w:hAnsi="Segoe UI Symbol" w:eastAsia="宋体" w:cs="Segoe UI Symbol"/>
                <w:b w:val="0"/>
                <w:color w:val="0F172A"/>
                <w:sz w:val="18"/>
              </w:rPr>
              <w:t>④</w:t>
            </w:r>
            <w:r>
              <w:rPr>
                <w:rFonts w:ascii="Times New Roman" w:hAnsi="Times New Roman" w:eastAsia="宋体" w:cs="Times New Roman"/>
                <w:b w:val="0"/>
                <w:color w:val="0F172A"/>
                <w:sz w:val="18"/>
              </w:rPr>
              <w:t xml:space="preserve"> KHunter 纯数学计量引擎：采用 Fama-MacBeth 3.0 回归 + HAC 稳健性检验 + Trend Gate 因果状态机，极端暴跌与 C 浪破位强制清仓，兼具高弹性与硬核防守。</w:t>
            </w:r>
          </w:p>
        </w:tc>
      </w:tr>
      <w:tr>
        <w:trPr>
          <w:cantSplit/>
        </w:trPr>
        <w:tc>
          <w:tcPr>
            <w:tcW w:type="dxa" w:w="1800"/>
            <w:shd w:fill="F1F5F9"/>
            <w:vAlign w:val="center"/>
            <w:tcMar>
              <w:top w:w="70" w:type="dxa"/>
              <w:bottom w:w="70" w:type="dxa"/>
              <w:left w:w="70" w:type="dxa"/>
              <w:right w:w="70" w:type="dxa"/>
            </w:tcMar>
          </w:tcPr>
          <w:p>
            <w:pPr>
              <w:spacing w:before="24" w:after="24" w:line="269" w:lineRule="auto"/>
              <w:jc w:val="center"/>
            </w:pPr>
            <w:r/>
            <w:r>
              <w:rPr>
                <w:rFonts w:ascii="Times New Roman" w:hAnsi="Times New Roman" w:eastAsia="黑体" w:cs="Times New Roman"/>
                <w:b/>
                <w:color w:val="0F172A"/>
                <w:sz w:val="18"/>
              </w:rPr>
              <w:t>佐证材料说明</w:t>
            </w:r>
          </w:p>
          <w:p>
            <w:pPr>
              <w:spacing w:before="24" w:after="24" w:line="269" w:lineRule="auto"/>
              <w:jc w:val="center"/>
            </w:pPr>
            <w:r>
              <w:rPr>
                <w:rFonts w:ascii="Times New Roman" w:hAnsi="Times New Roman" w:eastAsia="黑体" w:cs="Times New Roman"/>
                <w:b/>
                <w:color w:val="0F172A"/>
                <w:sz w:val="18"/>
              </w:rPr>
              <w:t>（知识产权等）</w:t>
            </w:r>
          </w:p>
        </w:tc>
        <w:tc>
          <w:tcPr>
            <w:tcW w:type="dxa" w:w="8280"/>
            <w:vAlign w:val="center"/>
            <w:tcMar>
              <w:top w:w="70" w:type="dxa"/>
              <w:bottom w:w="70" w:type="dxa"/>
              <w:left w:w="70" w:type="dxa"/>
              <w:right w:w="70" w:type="dxa"/>
            </w:tcMar>
          </w:tcPr>
          <w:p>
            <w:pPr>
              <w:spacing w:before="24" w:after="24" w:line="283" w:lineRule="auto"/>
              <w:jc w:val="left"/>
            </w:pPr>
            <w:r/>
            <w:r>
              <w:rPr>
                <w:rFonts w:ascii="Times New Roman" w:hAnsi="Times New Roman" w:eastAsia="宋体" w:cs="Times New Roman"/>
                <w:b w:val="0"/>
                <w:color w:val="0F172A"/>
                <w:sz w:val="17"/>
              </w:rPr>
              <w:t>1. 出版级实证研报成果库：3 篇 3 页出版级高清实证研报 PDF（存储超级周期、黄金地缘避险、绿电公用事业，集成微观财务勾稽矩阵、波浪防御与 HAC 计量显著性检验）；</w:t>
            </w:r>
          </w:p>
          <w:p>
            <w:pPr>
              <w:spacing w:before="24" w:after="24" w:line="283" w:lineRule="auto"/>
              <w:jc w:val="left"/>
            </w:pPr>
            <w:r>
              <w:rPr>
                <w:rFonts w:ascii="Times New Roman" w:hAnsi="Times New Roman" w:eastAsia="宋体" w:cs="Times New Roman"/>
                <w:b w:val="0"/>
                <w:color w:val="0F172A"/>
                <w:sz w:val="17"/>
              </w:rPr>
              <w:t>2. 实证方法论学术白皮书：《Rainbow-FinGPT 数据溯源、标的池设计与实证方法论学术白皮书》，阐明多源数据采集流、双层证据金字塔与 Wind/CSMAR 迁移契约；</w:t>
            </w:r>
          </w:p>
          <w:p>
            <w:pPr>
              <w:spacing w:before="24" w:after="24" w:line="283" w:lineRule="auto"/>
              <w:jc w:val="left"/>
            </w:pPr>
            <w:r>
              <w:rPr>
                <w:rFonts w:ascii="Times New Roman" w:hAnsi="Times New Roman" w:eastAsia="宋体" w:cs="Times New Roman"/>
                <w:b w:val="0"/>
                <w:color w:val="0F172A"/>
                <w:sz w:val="17"/>
              </w:rPr>
              <w:t>3. 全市场宏观大底座实证集：涵盖 202 支股票全市场 6 大风格组合 100 交易日因果长跑数据集（19,998 个独立预测点，Harvey t=3.85，Brier=0.2481）；</w:t>
            </w:r>
          </w:p>
          <w:p>
            <w:pPr>
              <w:spacing w:before="24" w:after="24" w:line="283" w:lineRule="auto"/>
              <w:jc w:val="left"/>
            </w:pPr>
            <w:r>
              <w:rPr>
                <w:rFonts w:ascii="Times New Roman" w:hAnsi="Times New Roman" w:eastAsia="宋体" w:cs="Times New Roman"/>
                <w:b w:val="0"/>
                <w:color w:val="0F172A"/>
                <w:sz w:val="17"/>
              </w:rPr>
              <w:t>4. 软件著作权与代码工程：Rainbow-FinGPT v2.0 智能体中枢系统源码，包含 90+ 项全量自动化 pytest 单元与集成测试套件及无人值守自动化跑批；</w:t>
            </w:r>
          </w:p>
          <w:p>
            <w:pPr>
              <w:spacing w:before="24" w:after="24" w:line="283" w:lineRule="auto"/>
              <w:jc w:val="left"/>
            </w:pPr>
            <w:r>
              <w:rPr>
                <w:rFonts w:ascii="Times New Roman" w:hAnsi="Times New Roman" w:eastAsia="宋体" w:cs="Times New Roman"/>
                <w:b w:val="0"/>
                <w:color w:val="0F172A"/>
                <w:sz w:val="17"/>
              </w:rPr>
              <w:t>5. 达观数据产学研协同证明：针对达观曹植大模型金融垂直量化投研插件的技术接口协议与联合实施方案。</w:t>
            </w:r>
          </w:p>
        </w:tc>
      </w:tr>
    </w:tbl>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s="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