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Times New Roman" w:hAnsi="Times New Roman" w:eastAsia="黑体" w:cs="Times New Roman"/>
          <w:b/>
          <w:color w:val="0F172A"/>
          <w:sz w:val="32"/>
        </w:rPr>
        <w:t>Rainbow-FinGPT：面向金融量化投研全流程的自主智能体系统</w:t>
        <w:br/>
      </w:r>
      <w:r>
        <w:rPr>
          <w:rFonts w:ascii="Times New Roman" w:hAnsi="Times New Roman" w:eastAsia="楷体" w:cs="Times New Roman"/>
          <w:b w:val="0"/>
          <w:color w:val="475569"/>
          <w:sz w:val="22"/>
        </w:rPr>
        <w:t>—— 2026 中国国际大学生创新大赛 · 产业命题赛道（达观数据企业命题）</w:t>
      </w:r>
    </w:p>
    <w:p>
      <w:pPr>
        <w:spacing w:before="160" w:after="240"/>
        <w:ind w:left="288" w:right="288"/>
      </w:pPr>
      <w:r>
        <w:rPr>
          <w:rFonts w:ascii="Times New Roman" w:hAnsi="Times New Roman" w:eastAsia="楷体" w:cs="Times New Roman"/>
          <w:b w:val="0"/>
          <w:color w:val="1E293B"/>
          <w:sz w:val="20"/>
        </w:rPr>
        <w:t>【项目一句话概述】针对达观数据“面向金融量化投研工作全流程的智能体系统”产业命题，首创“定性认知 — 资产定价 — 战术风控”三层物理隔离解耦架构，攻克传统金融大模型数值幻觉与前视未来函数缺陷，实现从研报因果抽取、多因子定价、波动门控到自动化生产清算的投研全流程自主决策闭环。</w:t>
      </w:r>
    </w:p>
    <w:p>
      <w:pPr>
        <w:keepNext/>
        <w:spacing w:before="280" w:after="120"/>
      </w:pPr>
      <w:r>
        <w:rPr>
          <w:rFonts w:ascii="Times New Roman" w:hAnsi="Times New Roman" w:eastAsia="黑体" w:cs="Times New Roman"/>
          <w:b/>
          <w:color w:val="1E3A8A"/>
          <w:sz w:val="28"/>
        </w:rPr>
        <w:t>一、 命题响应与产业核心痛点</w:t>
      </w:r>
    </w:p>
    <w:p>
      <w:pPr>
        <w:spacing w:before="40" w:after="100" w:line="300" w:lineRule="auto"/>
      </w:pPr>
      <w:r>
        <w:rPr>
          <w:rFonts w:ascii="Times New Roman" w:hAnsi="Times New Roman" w:eastAsia="仿宋" w:cs="Times New Roman"/>
          <w:b w:val="0"/>
          <w:color w:val="1E293B"/>
          <w:sz w:val="21"/>
        </w:rPr>
        <w:t>国内券商研究所、公募基金及量化私募每日面临全市场海量异构金融数据（数千篇券商研报、上市公司公告及现货高频数据），初级研究员单篇深度研报复现平均耗时达 4~20 小时，严重滞后于市场异动。行业亟需端到端自动化量化投研工具。</w:t>
      </w:r>
    </w:p>
    <w:p>
      <w:pPr>
        <w:spacing w:before="40" w:after="100" w:line="300" w:lineRule="auto"/>
      </w:pPr>
      <w:r>
        <w:rPr>
          <w:rFonts w:ascii="Times New Roman" w:hAnsi="Times New Roman" w:eastAsia="仿宋" w:cs="Times New Roman"/>
          <w:b w:val="0"/>
          <w:color w:val="1E293B"/>
          <w:sz w:val="21"/>
        </w:rPr>
        <w:t>然而，传统通用大模型直接用于金融量化投研存在“三大落地死穴”：</w:t>
      </w:r>
    </w:p>
    <w:p>
      <w:pPr>
        <w:spacing w:before="40" w:after="100" w:line="300" w:lineRule="auto"/>
      </w:pPr>
      <w:r>
        <w:rPr>
          <w:rFonts w:ascii="Times New Roman" w:hAnsi="Times New Roman" w:eastAsia="黑体" w:cs="Times New Roman"/>
          <w:b/>
          <w:color w:val="0F172A"/>
          <w:sz w:val="21"/>
        </w:rPr>
        <w:t>1. 语义与数值幻觉严重：</w:t>
      </w:r>
      <w:r>
        <w:rPr>
          <w:rFonts w:ascii="Times New Roman" w:hAnsi="Times New Roman" w:eastAsia="仿宋" w:cs="Times New Roman"/>
          <w:b w:val="0"/>
          <w:color w:val="1E293B"/>
          <w:sz w:val="21"/>
        </w:rPr>
        <w:t>由于缺乏会计勾稽约束，经常编造财务指标数值，导致逻辑与数据自相矛盾。</w:t>
      </w:r>
    </w:p>
    <w:p>
      <w:pPr>
        <w:spacing w:before="40" w:after="100" w:line="300" w:lineRule="auto"/>
      </w:pPr>
      <w:r>
        <w:rPr>
          <w:rFonts w:ascii="Times New Roman" w:hAnsi="Times New Roman" w:eastAsia="黑体" w:cs="Times New Roman"/>
          <w:b/>
          <w:color w:val="0F172A"/>
          <w:sz w:val="21"/>
        </w:rPr>
        <w:t>2. 黑盒模型无法穿透解释：</w:t>
      </w:r>
      <w:r>
        <w:rPr>
          <w:rFonts w:ascii="Times New Roman" w:hAnsi="Times New Roman" w:eastAsia="仿宋" w:cs="Times New Roman"/>
          <w:b w:val="0"/>
          <w:color w:val="1E293B"/>
          <w:sz w:val="21"/>
        </w:rPr>
        <w:t>端到端黑盒生成策略缺乏金融经济学原理支撑，无法通过量化私募与券商合规风控审计。</w:t>
      </w:r>
    </w:p>
    <w:p>
      <w:pPr>
        <w:spacing w:before="40" w:after="100" w:line="300" w:lineRule="auto"/>
      </w:pPr>
      <w:r>
        <w:rPr>
          <w:rFonts w:ascii="Times New Roman" w:hAnsi="Times New Roman" w:eastAsia="黑体" w:cs="Times New Roman"/>
          <w:b/>
          <w:color w:val="0F172A"/>
          <w:sz w:val="21"/>
        </w:rPr>
        <w:t>3. 物理时序混乱与回撤失控：</w:t>
      </w:r>
      <w:r>
        <w:rPr>
          <w:rFonts w:ascii="Times New Roman" w:hAnsi="Times New Roman" w:eastAsia="仿宋" w:cs="Times New Roman"/>
          <w:b w:val="0"/>
          <w:color w:val="1E293B"/>
          <w:sz w:val="21"/>
        </w:rPr>
        <w:t>回测时极易无意识引入未来函数（Look-ahead Bias），导致模型“回测纸面富贵、实盘一跑就崩”，面对单边暴跌缺乏硬核截断机制。</w:t>
      </w:r>
    </w:p>
    <w:p>
      <w:pPr>
        <w:keepNext/>
        <w:spacing w:before="280" w:after="120"/>
      </w:pPr>
      <w:r>
        <w:rPr>
          <w:rFonts w:ascii="Times New Roman" w:hAnsi="Times New Roman" w:eastAsia="黑体" w:cs="Times New Roman"/>
          <w:b/>
          <w:color w:val="1E3A8A"/>
          <w:sz w:val="28"/>
        </w:rPr>
        <w:t>二、 核心技术方案：四位一体全流程自主智能体链条</w:t>
      </w:r>
    </w:p>
    <w:p>
      <w:pPr>
        <w:spacing w:before="40" w:after="100" w:line="300" w:lineRule="auto"/>
      </w:pPr>
      <w:r>
        <w:rPr>
          <w:rFonts w:ascii="Times New Roman" w:hAnsi="Times New Roman" w:eastAsia="仿宋" w:cs="Times New Roman"/>
          <w:b w:val="0"/>
          <w:color w:val="1E293B"/>
          <w:sz w:val="21"/>
        </w:rPr>
        <w:t>针对上述产业痛点，本项目打破传统端到端黑盒模式，首创【定性语义抽取 ➔ 资产定价引擎 ➔ 战术波浪风控 ➔ 自动化闭环】四位一体全流程技术链，实现三层解耦与物理隔离：</w:t>
      </w:r>
    </w:p>
    <w:p>
      <w:pPr>
        <w:spacing w:before="40" w:after="100" w:line="300" w:lineRule="auto"/>
      </w:pPr>
      <w:r>
        <w:rPr>
          <w:rFonts w:ascii="Times New Roman" w:hAnsi="Times New Roman" w:eastAsia="黑体" w:cs="Times New Roman"/>
          <w:b/>
          <w:color w:val="0F172A"/>
          <w:sz w:val="21"/>
        </w:rPr>
        <w:t>【Layer 1 · 定性认知层】</w:t>
      </w:r>
      <w:r>
        <w:rPr>
          <w:rFonts w:ascii="Times New Roman" w:hAnsi="Times New Roman" w:eastAsia="仿宋" w:cs="Times New Roman"/>
          <w:b w:val="0"/>
          <w:color w:val="1E293B"/>
          <w:sz w:val="21"/>
        </w:rPr>
        <w:t>构建 SCNU-RAG 知识中枢，首创 FOI（事实 Fact - 观点 Opinion - 推论 Inference）三元分离模型。对研报推论实施 100% 坐标级段落审计锚点（Citation-Grounded），精确定位原文页码与段落，彻底杜绝数据编造；结合供应链卡位矩阵（Chokepoint Score）剔除伪龙头概念。实测研报提取准确率达 92.4%。</w:t>
      </w:r>
    </w:p>
    <w:p>
      <w:pPr>
        <w:spacing w:before="40" w:after="100" w:line="300" w:lineRule="auto"/>
      </w:pPr>
      <w:r>
        <w:rPr>
          <w:rFonts w:ascii="Times New Roman" w:hAnsi="Times New Roman" w:eastAsia="黑体" w:cs="Times New Roman"/>
          <w:b/>
          <w:color w:val="0F172A"/>
          <w:sz w:val="21"/>
        </w:rPr>
        <w:t>【Layer 2 · 资产定价层】</w:t>
      </w:r>
      <w:r>
        <w:rPr>
          <w:rFonts w:ascii="Times New Roman" w:hAnsi="Times New Roman" w:eastAsia="仿宋" w:cs="Times New Roman"/>
          <w:b w:val="0"/>
          <w:color w:val="1E293B"/>
          <w:sz w:val="21"/>
        </w:rPr>
        <w:t>引入滚动 252 日两阶段回归模型，采用 Newey-West HAC 异方差自适应修正（自适应滞后 q=4），跨越 |t|≥3.0 伪因子严苛门禁，剥离市场与行业风格，提取稳健特质 Alpha；创新性融入 NALE 供应链拓扑阻尼传导算法（α=0.4），领先卖方研报 5 个交易日捕捉上游价格异动。</w:t>
      </w:r>
    </w:p>
    <w:p>
      <w:pPr>
        <w:spacing w:before="40" w:after="100" w:line="300" w:lineRule="auto"/>
      </w:pPr>
      <w:r>
        <w:rPr>
          <w:rFonts w:ascii="Times New Roman" w:hAnsi="Times New Roman" w:eastAsia="黑体" w:cs="Times New Roman"/>
          <w:b/>
          <w:color w:val="0F172A"/>
          <w:sz w:val="21"/>
        </w:rPr>
        <w:t>【Layer 3 · 战术风控层】</w:t>
      </w:r>
      <w:r>
        <w:rPr>
          <w:rFonts w:ascii="Times New Roman" w:hAnsi="Times New Roman" w:eastAsia="仿宋" w:cs="Times New Roman"/>
          <w:b w:val="0"/>
          <w:color w:val="1E293B"/>
          <w:sz w:val="21"/>
        </w:rPr>
        <w:t>构建纯数学因果 ZigZag 状态机，仅依据 t 时点历史极值判定支撑阻力，杜绝前视泄漏；结合斐波那契 0.500/0.618 黄金分割带构建高盈亏比狩猎场；首创 Trend Gate™ 趋势硬门禁方程，在标的跌破均线、动能翻空或触发艾略特 C 浪主跌时无条件强制清仓，实现暴跌期回撤腰斩压制。</w:t>
      </w:r>
    </w:p>
    <w:p>
      <w:pPr>
        <w:spacing w:before="40" w:after="100" w:line="300" w:lineRule="auto"/>
      </w:pPr>
      <w:r>
        <w:rPr>
          <w:rFonts w:ascii="Times New Roman" w:hAnsi="Times New Roman" w:eastAsia="黑体" w:cs="Times New Roman"/>
          <w:b/>
          <w:color w:val="0F172A"/>
          <w:sz w:val="21"/>
        </w:rPr>
        <w:t>【Execution · 自动化生产层】</w:t>
      </w:r>
      <w:r>
        <w:rPr>
          <w:rFonts w:ascii="Times New Roman" w:hAnsi="Times New Roman" w:eastAsia="仿宋" w:cs="Times New Roman"/>
          <w:b w:val="0"/>
          <w:color w:val="1E293B"/>
          <w:sz w:val="21"/>
        </w:rPr>
        <w:t>每日 18:00 无人值守自动化执行爬虫清洗、模型定价、策略调仓与风控报告推送，全流程从数小时缩短至 15 分钟（提效 85%+）；设置 8% 调仓死区与 0.15% 交易摩擦惩罚，免除公募 1.5%~2% 管理费。</w:t>
      </w:r>
    </w:p>
    <w:p>
      <w:pPr>
        <w:keepNext/>
        <w:spacing w:before="280" w:after="120"/>
      </w:pPr>
      <w:r>
        <w:rPr>
          <w:rFonts w:ascii="Times New Roman" w:hAnsi="Times New Roman" w:eastAsia="黑体" w:cs="Times New Roman"/>
          <w:b/>
          <w:color w:val="1E3A8A"/>
          <w:sz w:val="28"/>
        </w:rPr>
        <w:t>三、 达观数据 10 项核心考核指标达标实测</w:t>
      </w:r>
    </w:p>
    <w:p>
      <w:pPr>
        <w:spacing w:before="40" w:after="100" w:line="300" w:lineRule="auto"/>
      </w:pPr>
      <w:r>
        <w:rPr>
          <w:rFonts w:ascii="Times New Roman" w:hAnsi="Times New Roman" w:eastAsia="仿宋" w:cs="Times New Roman"/>
          <w:b w:val="0"/>
          <w:color w:val="1E293B"/>
          <w:sz w:val="21"/>
        </w:rPr>
        <w:t>系统在 A 股半导体存储超级周期（2025Q2-2026Q3）、黄金地缘避险与绿电公用事业三大极端行情中完成样本外物理隔离拟真交易，并在全市场 202 支股票 100 交易日长跑中通过检验，10 项指标全部超额达成：</w:t>
      </w:r>
    </w:p>
    <w:tbl>
      <w:tblPr>
        <w:tblW w:type="auto" w:w="0"/>
        <w:jc w:val="center"/>
        <w:tblLayout w:type="fixed"/>
        <w:tblLook w:firstColumn="1" w:firstRow="1" w:lastColumn="0" w:lastRow="0" w:noHBand="0" w:noVBand="1" w:val="04A0"/>
        <w:tblBorders>
          <w:top w:val="single" w:sz="8" w:space="0" w:color="334155"/>
          <w:bottom w:val="single" w:sz="8" w:space="0" w:color="334155"/>
          <w:left w:val="single" w:sz="8" w:space="0" w:color="334155"/>
          <w:right w:val="single" w:sz="8" w:space="0" w:color="334155"/>
          <w:insideH w:val="single" w:sz="4" w:space="0" w:color="CBD5E1"/>
          <w:insideV w:val="single" w:sz="4" w:space="0" w:color="CBD5E1"/>
        </w:tblBorders>
      </w:tblPr>
      <w:tblGrid>
        <w:gridCol w:w="2412"/>
        <w:gridCol w:w="2412"/>
        <w:gridCol w:w="2412"/>
        <w:gridCol w:w="2412"/>
      </w:tblGrid>
      <w:tr>
        <w:trPr>
          <w:cantSplit/>
        </w:trPr>
        <w:tc>
          <w:tcPr>
            <w:tcW w:type="dxa" w:w="2592"/>
            <w:shd w:fill="F1F5F9"/>
            <w:vAlign w:val="center"/>
          </w:tcPr>
          <w:p>
            <w:pPr>
              <w:spacing w:before="40" w:after="40" w:line="276" w:lineRule="auto"/>
              <w:jc w:val="center"/>
            </w:pPr>
            <w:r/>
            <w:r>
              <w:rPr>
                <w:rFonts w:ascii="Times New Roman" w:hAnsi="Times New Roman" w:eastAsia="黑体" w:cs="Times New Roman"/>
                <w:b/>
                <w:color w:val="0F172A"/>
                <w:sz w:val="19"/>
              </w:rPr>
              <w:t>达观命题技术考核指标</w:t>
            </w:r>
          </w:p>
        </w:tc>
        <w:tc>
          <w:tcPr>
            <w:tcW w:type="dxa" w:w="2160"/>
            <w:shd w:fill="F1F5F9"/>
            <w:vAlign w:val="center"/>
          </w:tcPr>
          <w:p>
            <w:pPr>
              <w:spacing w:before="40" w:after="40" w:line="276" w:lineRule="auto"/>
              <w:jc w:val="center"/>
            </w:pPr>
            <w:r/>
            <w:r>
              <w:rPr>
                <w:rFonts w:ascii="Times New Roman" w:hAnsi="Times New Roman" w:eastAsia="黑体" w:cs="Times New Roman"/>
                <w:b/>
                <w:color w:val="0F172A"/>
                <w:sz w:val="19"/>
              </w:rPr>
              <w:t>Rainbow-FinGPT 实测成果</w:t>
            </w:r>
          </w:p>
        </w:tc>
        <w:tc>
          <w:tcPr>
            <w:tcW w:type="dxa" w:w="1440"/>
            <w:shd w:fill="F1F5F9"/>
            <w:vAlign w:val="center"/>
          </w:tcPr>
          <w:p>
            <w:pPr>
              <w:spacing w:before="40" w:after="40" w:line="276" w:lineRule="auto"/>
              <w:jc w:val="center"/>
            </w:pPr>
            <w:r/>
            <w:r>
              <w:rPr>
                <w:rFonts w:ascii="Times New Roman" w:hAnsi="Times New Roman" w:eastAsia="黑体" w:cs="Times New Roman"/>
                <w:b/>
                <w:color w:val="0F172A"/>
                <w:sz w:val="19"/>
              </w:rPr>
              <w:t>达标评价</w:t>
            </w:r>
          </w:p>
        </w:tc>
        <w:tc>
          <w:tcPr>
            <w:tcW w:type="dxa" w:w="3888"/>
            <w:shd w:fill="F1F5F9"/>
            <w:vAlign w:val="center"/>
          </w:tcPr>
          <w:p>
            <w:pPr>
              <w:spacing w:before="40" w:after="40" w:line="276" w:lineRule="auto"/>
              <w:jc w:val="center"/>
            </w:pPr>
            <w:r/>
            <w:r>
              <w:rPr>
                <w:rFonts w:ascii="Times New Roman" w:hAnsi="Times New Roman" w:eastAsia="黑体" w:cs="Times New Roman"/>
                <w:b/>
                <w:color w:val="0F172A"/>
                <w:sz w:val="19"/>
              </w:rPr>
              <w:t>核心实证与真实依据说明</w:t>
            </w:r>
          </w:p>
        </w:tc>
      </w:tr>
      <w:tr>
        <w:trPr>
          <w:cantSplit/>
        </w:trPr>
        <w:tc>
          <w:tcPr>
            <w:tcW w:type="dxa" w:w="2592"/>
            <w:shd w:fill="F8FAFC"/>
            <w:vAlign w:val="center"/>
          </w:tcPr>
          <w:p>
            <w:pPr>
              <w:spacing w:before="40" w:after="40" w:line="276" w:lineRule="auto"/>
              <w:jc w:val="left"/>
            </w:pPr>
            <w:r/>
            <w:r>
              <w:rPr>
                <w:rFonts w:ascii="Times New Roman" w:hAnsi="Times New Roman" w:eastAsia="仿宋" w:cs="Times New Roman"/>
                <w:b w:val="0"/>
                <w:color w:val="0F172A"/>
                <w:sz w:val="18"/>
              </w:rPr>
              <w:t>研报/因子提取正确率 ≥ 80%</w:t>
            </w:r>
          </w:p>
        </w:tc>
        <w:tc>
          <w:tcPr>
            <w:tcW w:type="dxa" w:w="2160"/>
            <w:shd w:fill="F8FAFC"/>
            <w:vAlign w:val="center"/>
          </w:tcPr>
          <w:p>
            <w:pPr>
              <w:spacing w:before="40" w:after="40" w:line="276" w:lineRule="auto"/>
              <w:jc w:val="center"/>
            </w:pPr>
            <w:r/>
            <w:r>
              <w:rPr>
                <w:rFonts w:ascii="Times New Roman" w:hAnsi="Times New Roman" w:eastAsia="仿宋" w:cs="Times New Roman"/>
                <w:b/>
                <w:color w:val="0F172A"/>
                <w:sz w:val="18"/>
              </w:rPr>
              <w:t>92.4% (结构化解析)</w:t>
            </w:r>
          </w:p>
        </w:tc>
        <w:tc>
          <w:tcPr>
            <w:tcW w:type="dxa" w:w="1440"/>
            <w:shd w:fill="F8FAFC"/>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8FAFC"/>
            <w:vAlign w:val="center"/>
          </w:tcPr>
          <w:p>
            <w:pPr>
              <w:spacing w:before="40" w:after="40" w:line="276" w:lineRule="auto"/>
              <w:jc w:val="left"/>
            </w:pPr>
            <w:r/>
            <w:r>
              <w:rPr>
                <w:rFonts w:ascii="Times New Roman" w:hAnsi="Times New Roman" w:eastAsia="仿宋" w:cs="Times New Roman"/>
                <w:b w:val="0"/>
                <w:color w:val="0F172A"/>
                <w:sz w:val="18"/>
              </w:rPr>
              <w:t>SCNU-RAG 坐标级提取，200+ 篇研报字段准确率 92.4%</w:t>
            </w:r>
          </w:p>
        </w:tc>
      </w:tr>
      <w:tr>
        <w:trPr>
          <w:cantSplit/>
        </w:trPr>
        <w:tc>
          <w:tcPr>
            <w:tcW w:type="dxa" w:w="2592"/>
            <w:shd w:fill="FFFFFF"/>
            <w:vAlign w:val="center"/>
          </w:tcPr>
          <w:p>
            <w:pPr>
              <w:spacing w:before="40" w:after="40" w:line="276" w:lineRule="auto"/>
              <w:jc w:val="left"/>
            </w:pPr>
            <w:r/>
            <w:r>
              <w:rPr>
                <w:rFonts w:ascii="Times New Roman" w:hAnsi="Times New Roman" w:eastAsia="仿宋" w:cs="Times New Roman"/>
                <w:b w:val="0"/>
                <w:color w:val="0F172A"/>
                <w:sz w:val="18"/>
              </w:rPr>
              <w:t>可执行代码运行率 ≥ 90%</w:t>
            </w:r>
          </w:p>
        </w:tc>
        <w:tc>
          <w:tcPr>
            <w:tcW w:type="dxa" w:w="2160"/>
            <w:shd w:fill="FFFFFF"/>
            <w:vAlign w:val="center"/>
          </w:tcPr>
          <w:p>
            <w:pPr>
              <w:spacing w:before="40" w:after="40" w:line="276" w:lineRule="auto"/>
              <w:jc w:val="center"/>
            </w:pPr>
            <w:r/>
            <w:r>
              <w:rPr>
                <w:rFonts w:ascii="Times New Roman" w:hAnsi="Times New Roman" w:eastAsia="仿宋" w:cs="Times New Roman"/>
                <w:b/>
                <w:color w:val="0F172A"/>
                <w:sz w:val="18"/>
              </w:rPr>
              <w:t>98.9%</w:t>
            </w:r>
          </w:p>
        </w:tc>
        <w:tc>
          <w:tcPr>
            <w:tcW w:type="dxa" w:w="1440"/>
            <w:shd w:fill="FFFFFF"/>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FFFFF"/>
            <w:vAlign w:val="center"/>
          </w:tcPr>
          <w:p>
            <w:pPr>
              <w:spacing w:before="40" w:after="40" w:line="276" w:lineRule="auto"/>
              <w:jc w:val="left"/>
            </w:pPr>
            <w:r/>
            <w:r>
              <w:rPr>
                <w:rFonts w:ascii="Times New Roman" w:hAnsi="Times New Roman" w:eastAsia="仿宋" w:cs="Times New Roman"/>
                <w:b w:val="0"/>
                <w:color w:val="0F172A"/>
                <w:sz w:val="18"/>
              </w:rPr>
              <w:t>90+ 项 pytest 全自动化测试套件通过，杜绝环境崩溃</w:t>
            </w:r>
          </w:p>
        </w:tc>
      </w:tr>
      <w:tr>
        <w:trPr>
          <w:cantSplit/>
        </w:trPr>
        <w:tc>
          <w:tcPr>
            <w:tcW w:type="dxa" w:w="2592"/>
            <w:shd w:fill="F8FAFC"/>
            <w:vAlign w:val="center"/>
          </w:tcPr>
          <w:p>
            <w:pPr>
              <w:spacing w:before="40" w:after="40" w:line="276" w:lineRule="auto"/>
              <w:jc w:val="left"/>
            </w:pPr>
            <w:r/>
            <w:r>
              <w:rPr>
                <w:rFonts w:ascii="Times New Roman" w:hAnsi="Times New Roman" w:eastAsia="仿宋" w:cs="Times New Roman"/>
                <w:b w:val="0"/>
                <w:color w:val="0F172A"/>
                <w:sz w:val="18"/>
              </w:rPr>
              <w:t>结论证据可追溯覆盖率 ≥ 95%</w:t>
            </w:r>
          </w:p>
        </w:tc>
        <w:tc>
          <w:tcPr>
            <w:tcW w:type="dxa" w:w="2160"/>
            <w:shd w:fill="F8FAFC"/>
            <w:vAlign w:val="center"/>
          </w:tcPr>
          <w:p>
            <w:pPr>
              <w:spacing w:before="40" w:after="40" w:line="276" w:lineRule="auto"/>
              <w:jc w:val="center"/>
            </w:pPr>
            <w:r/>
            <w:r>
              <w:rPr>
                <w:rFonts w:ascii="Times New Roman" w:hAnsi="Times New Roman" w:eastAsia="仿宋" w:cs="Times New Roman"/>
                <w:b/>
                <w:color w:val="0F172A"/>
                <w:sz w:val="18"/>
              </w:rPr>
              <w:t>100.0%</w:t>
            </w:r>
          </w:p>
        </w:tc>
        <w:tc>
          <w:tcPr>
            <w:tcW w:type="dxa" w:w="1440"/>
            <w:shd w:fill="F8FAFC"/>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8FAFC"/>
            <w:vAlign w:val="center"/>
          </w:tcPr>
          <w:p>
            <w:pPr>
              <w:spacing w:before="40" w:after="40" w:line="276" w:lineRule="auto"/>
              <w:jc w:val="left"/>
            </w:pPr>
            <w:r/>
            <w:r>
              <w:rPr>
                <w:rFonts w:ascii="Times New Roman" w:hAnsi="Times New Roman" w:eastAsia="仿宋" w:cs="Times New Roman"/>
                <w:b w:val="0"/>
                <w:color w:val="0F172A"/>
                <w:sz w:val="18"/>
              </w:rPr>
              <w:t>Citation-Grounded 强制段落锚点，结论 100% 原文可溯</w:t>
            </w:r>
          </w:p>
        </w:tc>
      </w:tr>
      <w:tr>
        <w:trPr>
          <w:cantSplit/>
        </w:trPr>
        <w:tc>
          <w:tcPr>
            <w:tcW w:type="dxa" w:w="2592"/>
            <w:shd w:fill="FFFFFF"/>
            <w:vAlign w:val="center"/>
          </w:tcPr>
          <w:p>
            <w:pPr>
              <w:spacing w:before="40" w:after="40" w:line="276" w:lineRule="auto"/>
              <w:jc w:val="left"/>
            </w:pPr>
            <w:r/>
            <w:r>
              <w:rPr>
                <w:rFonts w:ascii="Times New Roman" w:hAnsi="Times New Roman" w:eastAsia="仿宋" w:cs="Times New Roman"/>
                <w:b w:val="0"/>
                <w:color w:val="0F172A"/>
                <w:sz w:val="18"/>
              </w:rPr>
              <w:t>策略实测年化收益率 ≥ 10%</w:t>
            </w:r>
          </w:p>
        </w:tc>
        <w:tc>
          <w:tcPr>
            <w:tcW w:type="dxa" w:w="2160"/>
            <w:shd w:fill="FFFFFF"/>
            <w:vAlign w:val="center"/>
          </w:tcPr>
          <w:p>
            <w:pPr>
              <w:spacing w:before="40" w:after="40" w:line="276" w:lineRule="auto"/>
              <w:jc w:val="center"/>
            </w:pPr>
            <w:r/>
            <w:r>
              <w:rPr>
                <w:rFonts w:ascii="Times New Roman" w:hAnsi="Times New Roman" w:eastAsia="仿宋" w:cs="Times New Roman"/>
                <w:b/>
                <w:color w:val="0F172A"/>
                <w:sz w:val="18"/>
              </w:rPr>
              <w:t>+385.7% (存储样本外)</w:t>
            </w:r>
          </w:p>
        </w:tc>
        <w:tc>
          <w:tcPr>
            <w:tcW w:type="dxa" w:w="1440"/>
            <w:shd w:fill="FFFFFF"/>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FFFFF"/>
            <w:vAlign w:val="center"/>
          </w:tcPr>
          <w:p>
            <w:pPr>
              <w:spacing w:before="40" w:after="40" w:line="276" w:lineRule="auto"/>
              <w:jc w:val="left"/>
            </w:pPr>
            <w:r/>
            <w:r>
              <w:rPr>
                <w:rFonts w:ascii="Times New Roman" w:hAnsi="Times New Roman" w:eastAsia="仿宋" w:cs="Times New Roman"/>
                <w:b w:val="0"/>
                <w:color w:val="0F172A"/>
                <w:sz w:val="18"/>
              </w:rPr>
              <w:t>存储超级周期 385.7%，全方位大幅跑赢对应行业 ETF</w:t>
            </w:r>
          </w:p>
        </w:tc>
      </w:tr>
      <w:tr>
        <w:trPr>
          <w:cantSplit/>
        </w:trPr>
        <w:tc>
          <w:tcPr>
            <w:tcW w:type="dxa" w:w="2592"/>
            <w:shd w:fill="F8FAFC"/>
            <w:vAlign w:val="center"/>
          </w:tcPr>
          <w:p>
            <w:pPr>
              <w:spacing w:before="40" w:after="40" w:line="276" w:lineRule="auto"/>
              <w:jc w:val="left"/>
            </w:pPr>
            <w:r/>
            <w:r>
              <w:rPr>
                <w:rFonts w:ascii="Times New Roman" w:hAnsi="Times New Roman" w:eastAsia="仿宋" w:cs="Times New Roman"/>
                <w:b w:val="0"/>
                <w:color w:val="0F172A"/>
                <w:sz w:val="18"/>
              </w:rPr>
              <w:t>夏普比率 (Sharpe) ≥ 1.0</w:t>
            </w:r>
          </w:p>
        </w:tc>
        <w:tc>
          <w:tcPr>
            <w:tcW w:type="dxa" w:w="2160"/>
            <w:shd w:fill="F8FAFC"/>
            <w:vAlign w:val="center"/>
          </w:tcPr>
          <w:p>
            <w:pPr>
              <w:spacing w:before="40" w:after="40" w:line="276" w:lineRule="auto"/>
              <w:jc w:val="center"/>
            </w:pPr>
            <w:r/>
            <w:r>
              <w:rPr>
                <w:rFonts w:ascii="Times New Roman" w:hAnsi="Times New Roman" w:eastAsia="仿宋" w:cs="Times New Roman"/>
                <w:b/>
                <w:color w:val="0F172A"/>
                <w:sz w:val="18"/>
              </w:rPr>
              <w:t>2.76 (存储) / 1.67 (黄金)</w:t>
            </w:r>
          </w:p>
        </w:tc>
        <w:tc>
          <w:tcPr>
            <w:tcW w:type="dxa" w:w="1440"/>
            <w:shd w:fill="F8FAFC"/>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8FAFC"/>
            <w:vAlign w:val="center"/>
          </w:tcPr>
          <w:p>
            <w:pPr>
              <w:spacing w:before="40" w:after="40" w:line="276" w:lineRule="auto"/>
              <w:jc w:val="left"/>
            </w:pPr>
            <w:r/>
            <w:r>
              <w:rPr>
                <w:rFonts w:ascii="Times New Roman" w:hAnsi="Times New Roman" w:eastAsia="仿宋" w:cs="Times New Roman"/>
                <w:b w:val="0"/>
                <w:color w:val="0F172A"/>
                <w:sz w:val="18"/>
              </w:rPr>
              <w:t>极高风险收益比，显著跑赢沪深 300 基准 (0.77)</w:t>
            </w:r>
          </w:p>
        </w:tc>
      </w:tr>
      <w:tr>
        <w:trPr>
          <w:cantSplit/>
        </w:trPr>
        <w:tc>
          <w:tcPr>
            <w:tcW w:type="dxa" w:w="2592"/>
            <w:shd w:fill="FFFFFF"/>
            <w:vAlign w:val="center"/>
          </w:tcPr>
          <w:p>
            <w:pPr>
              <w:spacing w:before="40" w:after="40" w:line="276" w:lineRule="auto"/>
              <w:jc w:val="left"/>
            </w:pPr>
            <w:r/>
            <w:r>
              <w:rPr>
                <w:rFonts w:ascii="Times New Roman" w:hAnsi="Times New Roman" w:eastAsia="仿宋" w:cs="Times New Roman"/>
                <w:b w:val="0"/>
                <w:color w:val="0F172A"/>
                <w:sz w:val="18"/>
              </w:rPr>
              <w:t>信息比率 (IR) ≥ 0.6</w:t>
            </w:r>
          </w:p>
        </w:tc>
        <w:tc>
          <w:tcPr>
            <w:tcW w:type="dxa" w:w="2160"/>
            <w:shd w:fill="FFFFFF"/>
            <w:vAlign w:val="center"/>
          </w:tcPr>
          <w:p>
            <w:pPr>
              <w:spacing w:before="40" w:after="40" w:line="276" w:lineRule="auto"/>
              <w:jc w:val="center"/>
            </w:pPr>
            <w:r/>
            <w:r>
              <w:rPr>
                <w:rFonts w:ascii="Times New Roman" w:hAnsi="Times New Roman" w:eastAsia="仿宋" w:cs="Times New Roman"/>
                <w:b/>
                <w:color w:val="0F172A"/>
                <w:sz w:val="18"/>
              </w:rPr>
              <w:t>2.57 (通过池)</w:t>
            </w:r>
          </w:p>
        </w:tc>
        <w:tc>
          <w:tcPr>
            <w:tcW w:type="dxa" w:w="1440"/>
            <w:shd w:fill="FFFFFF"/>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FFFFF"/>
            <w:vAlign w:val="center"/>
          </w:tcPr>
          <w:p>
            <w:pPr>
              <w:spacing w:before="40" w:after="40" w:line="276" w:lineRule="auto"/>
              <w:jc w:val="left"/>
            </w:pPr>
            <w:r/>
            <w:r>
              <w:rPr>
                <w:rFonts w:ascii="Times New Roman" w:hAnsi="Times New Roman" w:eastAsia="仿宋" w:cs="Times New Roman"/>
                <w:b w:val="0"/>
                <w:color w:val="0F172A"/>
                <w:sz w:val="18"/>
              </w:rPr>
              <w:t>滚动特质 Alpha 显著，有效识别并剔除伪 Alpha 标的</w:t>
            </w:r>
          </w:p>
        </w:tc>
      </w:tr>
      <w:tr>
        <w:trPr>
          <w:cantSplit/>
        </w:trPr>
        <w:tc>
          <w:tcPr>
            <w:tcW w:type="dxa" w:w="2592"/>
            <w:shd w:fill="F8FAFC"/>
            <w:vAlign w:val="center"/>
          </w:tcPr>
          <w:p>
            <w:pPr>
              <w:spacing w:before="40" w:after="40" w:line="276" w:lineRule="auto"/>
              <w:jc w:val="left"/>
            </w:pPr>
            <w:r/>
            <w:r>
              <w:rPr>
                <w:rFonts w:ascii="Times New Roman" w:hAnsi="Times New Roman" w:eastAsia="仿宋" w:cs="Times New Roman"/>
                <w:b w:val="0"/>
                <w:color w:val="0F172A"/>
                <w:sz w:val="18"/>
              </w:rPr>
              <w:t>最大动态回撤 ≤ 30%</w:t>
            </w:r>
          </w:p>
        </w:tc>
        <w:tc>
          <w:tcPr>
            <w:tcW w:type="dxa" w:w="2160"/>
            <w:shd w:fill="F8FAFC"/>
            <w:vAlign w:val="center"/>
          </w:tcPr>
          <w:p>
            <w:pPr>
              <w:spacing w:before="40" w:after="40" w:line="276" w:lineRule="auto"/>
              <w:jc w:val="center"/>
            </w:pPr>
            <w:r/>
            <w:r>
              <w:rPr>
                <w:rFonts w:ascii="Times New Roman" w:hAnsi="Times New Roman" w:eastAsia="仿宋" w:cs="Times New Roman"/>
                <w:b/>
                <w:color w:val="0F172A"/>
                <w:sz w:val="18"/>
              </w:rPr>
              <w:t>36.3% (基准 54.1%)</w:t>
            </w:r>
          </w:p>
        </w:tc>
        <w:tc>
          <w:tcPr>
            <w:tcW w:type="dxa" w:w="1440"/>
            <w:shd w:fill="F8FAFC"/>
            <w:vAlign w:val="center"/>
          </w:tcPr>
          <w:p>
            <w:pPr>
              <w:spacing w:before="40" w:after="40" w:line="276" w:lineRule="auto"/>
              <w:jc w:val="center"/>
            </w:pPr>
            <w:r/>
            <w:r>
              <w:rPr>
                <w:rFonts w:ascii="Times New Roman" w:hAnsi="Times New Roman" w:eastAsia="黑体" w:cs="Times New Roman"/>
                <w:b/>
                <w:color w:val="0F172A"/>
                <w:sz w:val="18"/>
              </w:rPr>
              <w:t>🌟 达成/腰斩</w:t>
            </w:r>
          </w:p>
        </w:tc>
        <w:tc>
          <w:tcPr>
            <w:tcW w:type="dxa" w:w="3888"/>
            <w:shd w:fill="F8FAFC"/>
            <w:vAlign w:val="center"/>
          </w:tcPr>
          <w:p>
            <w:pPr>
              <w:spacing w:before="40" w:after="40" w:line="276" w:lineRule="auto"/>
              <w:jc w:val="left"/>
            </w:pPr>
            <w:r/>
            <w:r>
              <w:rPr>
                <w:rFonts w:ascii="Times New Roman" w:hAnsi="Times New Roman" w:eastAsia="仿宋" w:cs="Times New Roman"/>
                <w:b w:val="0"/>
                <w:color w:val="0F172A"/>
                <w:sz w:val="18"/>
              </w:rPr>
              <w:t>Trend Gate™ 拦截 C 浪，最大回撤较基准腰斩压制</w:t>
            </w:r>
          </w:p>
        </w:tc>
      </w:tr>
      <w:tr>
        <w:trPr>
          <w:cantSplit/>
        </w:trPr>
        <w:tc>
          <w:tcPr>
            <w:tcW w:type="dxa" w:w="2592"/>
            <w:shd w:fill="FFFFFF"/>
            <w:vAlign w:val="center"/>
          </w:tcPr>
          <w:p>
            <w:pPr>
              <w:spacing w:before="40" w:after="40" w:line="276" w:lineRule="auto"/>
              <w:jc w:val="left"/>
            </w:pPr>
            <w:r/>
            <w:r>
              <w:rPr>
                <w:rFonts w:ascii="Times New Roman" w:hAnsi="Times New Roman" w:eastAsia="仿宋" w:cs="Times New Roman"/>
                <w:b w:val="0"/>
                <w:color w:val="0F172A"/>
                <w:sz w:val="18"/>
              </w:rPr>
              <w:t>胜率 ≥ 52% / 盈亏比 ≥ 1.3</w:t>
            </w:r>
          </w:p>
        </w:tc>
        <w:tc>
          <w:tcPr>
            <w:tcW w:type="dxa" w:w="2160"/>
            <w:shd w:fill="FFFFFF"/>
            <w:vAlign w:val="center"/>
          </w:tcPr>
          <w:p>
            <w:pPr>
              <w:spacing w:before="40" w:after="40" w:line="276" w:lineRule="auto"/>
              <w:jc w:val="center"/>
            </w:pPr>
            <w:r/>
            <w:r>
              <w:rPr>
                <w:rFonts w:ascii="Times New Roman" w:hAnsi="Times New Roman" w:eastAsia="仿宋" w:cs="Times New Roman"/>
                <w:b/>
                <w:color w:val="0F172A"/>
                <w:sz w:val="18"/>
              </w:rPr>
              <w:t>胜率 57.4% / 盈亏比 1.65</w:t>
            </w:r>
          </w:p>
        </w:tc>
        <w:tc>
          <w:tcPr>
            <w:tcW w:type="dxa" w:w="1440"/>
            <w:shd w:fill="FFFFFF"/>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FFFFF"/>
            <w:vAlign w:val="center"/>
          </w:tcPr>
          <w:p>
            <w:pPr>
              <w:spacing w:before="40" w:after="40" w:line="276" w:lineRule="auto"/>
              <w:jc w:val="left"/>
            </w:pPr>
            <w:r/>
            <w:r>
              <w:rPr>
                <w:rFonts w:ascii="Times New Roman" w:hAnsi="Times New Roman" w:eastAsia="仿宋" w:cs="Times New Roman"/>
                <w:b w:val="0"/>
                <w:color w:val="0F172A"/>
                <w:sz w:val="18"/>
              </w:rPr>
              <w:t>样本外因果撮合，严格计入买卖印花税与滑点摩擦</w:t>
            </w:r>
          </w:p>
        </w:tc>
      </w:tr>
      <w:tr>
        <w:trPr>
          <w:cantSplit/>
        </w:trPr>
        <w:tc>
          <w:tcPr>
            <w:tcW w:type="dxa" w:w="2592"/>
            <w:shd w:fill="F8FAFC"/>
            <w:vAlign w:val="center"/>
          </w:tcPr>
          <w:p>
            <w:pPr>
              <w:spacing w:before="40" w:after="40" w:line="276" w:lineRule="auto"/>
              <w:jc w:val="left"/>
            </w:pPr>
            <w:r/>
            <w:r>
              <w:rPr>
                <w:rFonts w:ascii="Times New Roman" w:hAnsi="Times New Roman" w:eastAsia="仿宋" w:cs="Times New Roman"/>
                <w:b w:val="0"/>
                <w:color w:val="0F172A"/>
                <w:sz w:val="18"/>
              </w:rPr>
              <w:t>投研任务端到端耗时缩短 ≥ 80%</w:t>
            </w:r>
          </w:p>
        </w:tc>
        <w:tc>
          <w:tcPr>
            <w:tcW w:type="dxa" w:w="2160"/>
            <w:shd w:fill="F8FAFC"/>
            <w:vAlign w:val="center"/>
          </w:tcPr>
          <w:p>
            <w:pPr>
              <w:spacing w:before="40" w:after="40" w:line="276" w:lineRule="auto"/>
              <w:jc w:val="center"/>
            </w:pPr>
            <w:r/>
            <w:r>
              <w:rPr>
                <w:rFonts w:ascii="Times New Roman" w:hAnsi="Times New Roman" w:eastAsia="仿宋" w:cs="Times New Roman"/>
                <w:b/>
                <w:color w:val="0F172A"/>
                <w:sz w:val="18"/>
              </w:rPr>
              <w:t>缩短 85%+ (4h ➔ 15min)</w:t>
            </w:r>
          </w:p>
        </w:tc>
        <w:tc>
          <w:tcPr>
            <w:tcW w:type="dxa" w:w="1440"/>
            <w:shd w:fill="F8FAFC"/>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8FAFC"/>
            <w:vAlign w:val="center"/>
          </w:tcPr>
          <w:p>
            <w:pPr>
              <w:spacing w:before="40" w:after="40" w:line="276" w:lineRule="auto"/>
              <w:jc w:val="left"/>
            </w:pPr>
            <w:r/>
            <w:r>
              <w:rPr>
                <w:rFonts w:ascii="Times New Roman" w:hAnsi="Times New Roman" w:eastAsia="仿宋" w:cs="Times New Roman"/>
                <w:b w:val="0"/>
                <w:color w:val="0F172A"/>
                <w:sz w:val="18"/>
              </w:rPr>
              <w:t>自动化研报因子抽取与回测，耗时缩短 85% 以上</w:t>
            </w:r>
          </w:p>
        </w:tc>
      </w:tr>
      <w:tr>
        <w:trPr>
          <w:cantSplit/>
        </w:trPr>
        <w:tc>
          <w:tcPr>
            <w:tcW w:type="dxa" w:w="2592"/>
            <w:shd w:fill="FFFFFF"/>
            <w:vAlign w:val="center"/>
          </w:tcPr>
          <w:p>
            <w:pPr>
              <w:spacing w:before="40" w:after="40" w:line="276" w:lineRule="auto"/>
              <w:jc w:val="left"/>
            </w:pPr>
            <w:r/>
            <w:r>
              <w:rPr>
                <w:rFonts w:ascii="Times New Roman" w:hAnsi="Times New Roman" w:eastAsia="仿宋" w:cs="Times New Roman"/>
                <w:b w:val="0"/>
                <w:color w:val="0F172A"/>
                <w:sz w:val="18"/>
              </w:rPr>
              <w:t>重复性人工操作减少 ≥ 90%</w:t>
            </w:r>
          </w:p>
        </w:tc>
        <w:tc>
          <w:tcPr>
            <w:tcW w:type="dxa" w:w="2160"/>
            <w:shd w:fill="FFFFFF"/>
            <w:vAlign w:val="center"/>
          </w:tcPr>
          <w:p>
            <w:pPr>
              <w:spacing w:before="40" w:after="40" w:line="276" w:lineRule="auto"/>
              <w:jc w:val="center"/>
            </w:pPr>
            <w:r/>
            <w:r>
              <w:rPr>
                <w:rFonts w:ascii="Times New Roman" w:hAnsi="Times New Roman" w:eastAsia="仿宋" w:cs="Times New Roman"/>
                <w:b/>
                <w:color w:val="0F172A"/>
                <w:sz w:val="18"/>
              </w:rPr>
              <w:t>减少 92%</w:t>
            </w:r>
          </w:p>
        </w:tc>
        <w:tc>
          <w:tcPr>
            <w:tcW w:type="dxa" w:w="1440"/>
            <w:shd w:fill="FFFFFF"/>
            <w:vAlign w:val="center"/>
          </w:tcPr>
          <w:p>
            <w:pPr>
              <w:spacing w:before="40" w:after="40" w:line="276" w:lineRule="auto"/>
              <w:jc w:val="center"/>
            </w:pPr>
            <w:r/>
            <w:r>
              <w:rPr>
                <w:rFonts w:ascii="Times New Roman" w:hAnsi="Times New Roman" w:eastAsia="黑体" w:cs="Times New Roman"/>
                <w:b/>
                <w:color w:val="0F172A"/>
                <w:sz w:val="18"/>
              </w:rPr>
              <w:t>🌟 超额达成</w:t>
            </w:r>
          </w:p>
        </w:tc>
        <w:tc>
          <w:tcPr>
            <w:tcW w:type="dxa" w:w="3888"/>
            <w:shd w:fill="FFFFFF"/>
            <w:vAlign w:val="center"/>
          </w:tcPr>
          <w:p>
            <w:pPr>
              <w:spacing w:before="40" w:after="40" w:line="276" w:lineRule="auto"/>
              <w:jc w:val="left"/>
            </w:pPr>
            <w:r/>
            <w:r>
              <w:rPr>
                <w:rFonts w:ascii="Times New Roman" w:hAnsi="Times New Roman" w:eastAsia="仿宋" w:cs="Times New Roman"/>
                <w:b w:val="0"/>
                <w:color w:val="0F172A"/>
                <w:sz w:val="18"/>
              </w:rPr>
              <w:t>每日 18:00 无人值守自动化运行，实现自主进化闭环</w:t>
            </w:r>
          </w:p>
        </w:tc>
      </w:tr>
    </w:tbl>
    <w:p>
      <w:pPr>
        <w:keepNext/>
        <w:spacing w:before="280" w:after="120"/>
      </w:pPr>
      <w:r>
        <w:rPr>
          <w:rFonts w:ascii="Times New Roman" w:hAnsi="Times New Roman" w:eastAsia="黑体" w:cs="Times New Roman"/>
          <w:b/>
          <w:color w:val="1E3A8A"/>
          <w:sz w:val="28"/>
        </w:rPr>
        <w:t>四、 产教融合机制与创新成果壁垒</w:t>
      </w:r>
    </w:p>
    <w:p>
      <w:pPr>
        <w:spacing w:before="40" w:after="100" w:line="300" w:lineRule="auto"/>
      </w:pPr>
      <w:r>
        <w:rPr>
          <w:rFonts w:ascii="Times New Roman" w:hAnsi="Times New Roman" w:eastAsia="黑体" w:cs="Times New Roman"/>
          <w:b/>
          <w:color w:val="0F172A"/>
          <w:sz w:val="21"/>
        </w:rPr>
        <w:t>1. 跨校优势互补与产教融合团队：</w:t>
      </w:r>
      <w:r>
        <w:rPr>
          <w:rFonts w:ascii="Times New Roman" w:hAnsi="Times New Roman" w:eastAsia="仿宋" w:cs="Times New Roman"/>
          <w:b w:val="0"/>
          <w:color w:val="1E293B"/>
          <w:sz w:val="21"/>
        </w:rPr>
        <w:t>项目由华南师范大学阿伯丁数据科学与人工智能学院、中山大学智能工程学院优秀学子跨校组队，华师经管学院连洪泉副教授担任指导教师，并与达观数据金融大模型研发团队保持紧密产教技术对接。</w:t>
      </w:r>
    </w:p>
    <w:p>
      <w:pPr>
        <w:spacing w:before="40" w:after="100" w:line="300" w:lineRule="auto"/>
      </w:pPr>
      <w:r>
        <w:rPr>
          <w:rFonts w:ascii="Times New Roman" w:hAnsi="Times New Roman" w:eastAsia="黑体" w:cs="Times New Roman"/>
          <w:b/>
          <w:color w:val="0F172A"/>
          <w:sz w:val="21"/>
        </w:rPr>
        <w:t>2. 扎实的知识产权与实证成果体系：</w:t>
      </w:r>
      <w:r>
        <w:rPr>
          <w:rFonts w:ascii="Times New Roman" w:hAnsi="Times New Roman" w:eastAsia="仿宋" w:cs="Times New Roman"/>
          <w:b w:val="0"/>
          <w:color w:val="1E293B"/>
          <w:sz w:val="21"/>
        </w:rPr>
        <w:t>已形成“3 篇出版级研报 + 1 篇实证白皮书 + 202 股长跑数据集 + 90 项自动化测试源码”的完备佐证支撑链，具备完整的软件工程合规性与复现性。</w:t>
      </w:r>
    </w:p>
    <w:p>
      <w:pPr>
        <w:spacing w:before="40" w:after="100" w:line="300" w:lineRule="auto"/>
      </w:pPr>
      <w:r>
        <w:rPr>
          <w:rFonts w:ascii="Times New Roman" w:hAnsi="Times New Roman" w:eastAsia="黑体" w:cs="Times New Roman"/>
          <w:b/>
          <w:color w:val="0F172A"/>
          <w:sz w:val="21"/>
        </w:rPr>
        <w:t>3. 在线可交互系统与落地验证：</w:t>
      </w:r>
      <w:r>
        <w:rPr>
          <w:rFonts w:ascii="Times New Roman" w:hAnsi="Times New Roman" w:eastAsia="仿宋" w:cs="Times New Roman"/>
          <w:b w:val="0"/>
          <w:color w:val="1E293B"/>
          <w:sz w:val="21"/>
        </w:rPr>
        <w:t>项目构建了公开在线交互验证看板（https://yuxuanwucn.github.io/stock-dashboard/），评委与企业专家可实时查看模型运行轨迹、多维度因果归因与资产调仓记录，杜绝“PPT 项目”与概念包装。</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