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(40-)55-85(-100) cm long;  conspicuous. </w:t>
      </w:r>
      <w:br/>
      <w:r>
        <w:rPr>
          <w:b w:val="1"/>
          <w:bCs w:val="1"/>
        </w:rPr>
        <w:t xml:space="preserve">Leaf: </w:t>
      </w:r>
      <w:r>
        <w:rPr/>
        <w:t xml:space="preserve"> Sheath summit  red brown;  U shaped.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(5-)6.25-8.75(-10);  lanceoloid.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2022-01-05T09:44:20-08:00</dcterms:created>
  <dcterms:modified xsi:type="dcterms:W3CDTF">2022-01-05T09:44:20-08:00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