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Stem: </w:t>
      </w:r>
      <w:r>
        <w:rPr/>
        <w:t xml:space="preserve"> (400-)550-850(-1000) mm long; Vegetative stems  conspicuous. </w:t>
      </w:r>
      <w:br/>
      <w:r>
        <w:rPr>
          <w:b w:val="1"/>
          <w:bCs w:val="1"/>
        </w:rPr>
        <w:t xml:space="preserve">Leaf: </w:t>
      </w:r>
      <w:r>
        <w:rPr/>
        <w:t xml:space="preserve"> Sheath summit  red brown; usually U shaped  or gutter-shape. </w:t>
      </w:r>
      <w:br/>
      <w:r>
        <w:rPr>
          <w:b w:val="1"/>
          <w:bCs w:val="1"/>
        </w:rPr>
        <w:t xml:space="preserve">Inflorescence unit: </w:t>
      </w:r>
      <w:r>
        <w:rPr/>
        <w:t xml:space="preserve"> Inflorescence units (5-)6.25-8.75(-10); usually lancehead-shaped  or lancoloid. 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2022-01-12T12:55:06-08:00</dcterms:created>
  <dcterms:modified xsi:type="dcterms:W3CDTF">2022-01-12T12:55:06-08:00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