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(40-)55-85(-100) cm long; Vegetative stems  conspicuous. </w:t>
      </w:r>
      <w:br/>
      <w:r>
        <w:rPr>
          <w:b w:val="1"/>
          <w:bCs w:val="1"/>
        </w:rPr>
        <w:t xml:space="preserve">Leaf: </w:t>
      </w:r>
      <w:r>
        <w:rPr/>
        <w:t xml:space="preserve"> Sheath summit  red brown; usually U shaped  or gutter-shape.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(5-)6.25-8.75(-10); usually lancehead-shaped  or lanceoloid.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2022-01-13T07:28:53-08:00</dcterms:created>
  <dcterms:modified xsi:type="dcterms:W3CDTF">2022-01-13T07:28:53-08:00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