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Stem: </w:t>
      </w:r>
      <w:r>
        <w:rPr/>
        <w:t xml:space="preserve"> (40-)55-85(-100) cm long;  conspicious. </w:t>
      </w:r>
      <w:br/>
      <w:r>
        <w:rPr>
          <w:b w:val="1"/>
          <w:bCs w:val="1"/>
        </w:rPr>
        <w:t xml:space="preserve">Leaf: </w:t>
      </w:r>
      <w:r>
        <w:rPr/>
        <w:t xml:space="preserve"> Sheath summit  red brown; usually U shaped  or gutter-shape. </w:t>
      </w:r>
      <w:br/>
      <w:r>
        <w:rPr>
          <w:b w:val="1"/>
          <w:bCs w:val="1"/>
        </w:rPr>
        <w:t xml:space="preserve">Inflorescence unit: </w:t>
      </w:r>
      <w:r>
        <w:rPr/>
        <w:t xml:space="preserve"> Inflorescence units (5-)5-5(-5);  lanceoloid. 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2022-01-06T11:55:27-08:00</dcterms:created>
  <dcterms:modified xsi:type="dcterms:W3CDTF">2022-01-06T11:55:27-08:00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